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F6E" w:rsidRPr="00653B69" w:rsidRDefault="000B4747" w:rsidP="00653B69">
      <w:pPr>
        <w:jc w:val="center"/>
        <w:rPr>
          <w:b/>
        </w:rPr>
      </w:pPr>
      <w:r w:rsidRPr="00653B69">
        <w:rPr>
          <w:b/>
        </w:rPr>
        <w:t>Instrukcja</w:t>
      </w:r>
    </w:p>
    <w:p w:rsidR="000B4747" w:rsidRPr="00653B69" w:rsidRDefault="000B4747" w:rsidP="00653B69">
      <w:pPr>
        <w:jc w:val="center"/>
        <w:rPr>
          <w:b/>
        </w:rPr>
      </w:pPr>
      <w:r w:rsidRPr="00653B69">
        <w:rPr>
          <w:b/>
        </w:rPr>
        <w:t>w zakresie przeciwdziałania praniu brudnych pieniędzy oraz finansowaniu terroryzmu</w:t>
      </w:r>
    </w:p>
    <w:p w:rsidR="000B4747" w:rsidRDefault="000B4747" w:rsidP="00653B69">
      <w:pPr>
        <w:jc w:val="both"/>
      </w:pPr>
    </w:p>
    <w:p w:rsidR="000B4747" w:rsidRPr="00653B69" w:rsidRDefault="000B4747" w:rsidP="00653B69">
      <w:pPr>
        <w:jc w:val="both"/>
        <w:rPr>
          <w:b/>
        </w:rPr>
      </w:pPr>
      <w:r w:rsidRPr="00653B69">
        <w:rPr>
          <w:b/>
        </w:rPr>
        <w:t>Rozdział I</w:t>
      </w:r>
    </w:p>
    <w:p w:rsidR="000B4747" w:rsidRDefault="000B4747" w:rsidP="00653B69">
      <w:pPr>
        <w:jc w:val="both"/>
      </w:pPr>
      <w:r>
        <w:t>Zakres instrukcji i podstawy prawne</w:t>
      </w:r>
    </w:p>
    <w:p w:rsidR="000B4747" w:rsidRDefault="000B4747" w:rsidP="00653B69">
      <w:pPr>
        <w:jc w:val="both"/>
      </w:pPr>
      <w:r>
        <w:rPr>
          <w:rFonts w:cs="Arial"/>
        </w:rPr>
        <w:t>§</w:t>
      </w:r>
      <w:r>
        <w:t xml:space="preserve"> 1.</w:t>
      </w:r>
    </w:p>
    <w:p w:rsidR="000B4747" w:rsidRDefault="000B4747" w:rsidP="00653B69">
      <w:pPr>
        <w:jc w:val="both"/>
      </w:pPr>
      <w:r>
        <w:t xml:space="preserve">Instrukcja, zwana dalej „Instrukcją” określa sposób wykonywania środków bezpieczeństwa finansowego, rejestracji transakcji, sposobu analizy i oceny ryzyka, przekazywania informacji o transakcjach do </w:t>
      </w:r>
      <w:proofErr w:type="spellStart"/>
      <w:r>
        <w:t>GIIF</w:t>
      </w:r>
      <w:proofErr w:type="spellEnd"/>
      <w:r w:rsidR="001615A6">
        <w:t xml:space="preserve"> oraz przechowywania informacji, wstrzymania transakcji, blokady rachunku i zamrożeniu wartości majątkowych w celu zminimalizowania możliwości wykorzystywania Fundacji dla celów prania pieniędzy lub finansowania terroryzmu, a także wypełnienia przez Fundację obowiązków stawianych w tym zakresie przez obowiązujące przepisy prawa, w tym </w:t>
      </w:r>
      <w:r w:rsidR="00C753CF">
        <w:t xml:space="preserve">w szczególności ustawę z dnia 1 marca 2018 roku o przeciwdziałaniu praniu pieniędzy oraz finansowaniu terroryzmu, zwaną dalej „Ustawą”. </w:t>
      </w:r>
    </w:p>
    <w:p w:rsidR="00C753CF" w:rsidRDefault="00C753CF" w:rsidP="00653B69">
      <w:pPr>
        <w:jc w:val="both"/>
      </w:pPr>
      <w:r>
        <w:rPr>
          <w:rFonts w:cs="Arial"/>
        </w:rPr>
        <w:t>§</w:t>
      </w:r>
      <w:r>
        <w:t xml:space="preserve"> 2. </w:t>
      </w:r>
    </w:p>
    <w:p w:rsidR="00C753CF" w:rsidRDefault="00C753CF" w:rsidP="00653B69">
      <w:pPr>
        <w:jc w:val="both"/>
      </w:pPr>
      <w:r>
        <w:t>Użyte w Instrukcji wyrażenia i skróty oznaczają:</w:t>
      </w:r>
    </w:p>
    <w:p w:rsidR="00C753CF" w:rsidRDefault="00C753CF" w:rsidP="00653B69">
      <w:pPr>
        <w:jc w:val="both"/>
      </w:pPr>
      <w:r>
        <w:t>1. Fundacja – Fundacja po DRUGIE</w:t>
      </w:r>
    </w:p>
    <w:p w:rsidR="00C753CF" w:rsidRDefault="00C753CF" w:rsidP="00653B69">
      <w:pPr>
        <w:jc w:val="both"/>
      </w:pPr>
      <w:r>
        <w:t xml:space="preserve">2. </w:t>
      </w:r>
      <w:proofErr w:type="spellStart"/>
      <w:r>
        <w:t>GIIF</w:t>
      </w:r>
      <w:proofErr w:type="spellEnd"/>
      <w:r>
        <w:t xml:space="preserve"> – Generalny Inspektor Informacji Finansowej</w:t>
      </w:r>
    </w:p>
    <w:p w:rsidR="00C753CF" w:rsidRDefault="00C753CF" w:rsidP="00653B69">
      <w:pPr>
        <w:jc w:val="both"/>
      </w:pPr>
      <w:r>
        <w:t xml:space="preserve">3. Wartości majątkowe – środki płatnicze, instrumenty finansowe w rozumieniu </w:t>
      </w:r>
      <w:r w:rsidR="008E4784">
        <w:t>art. 2. 1. Ustawy z dnia 29 lipca 2005 roku o obrocie instrumentami finansowymi, a także inne papiery wartościowe lub wartości dewizowe, prawa majątkowe, rzeczy ruchome oraz nieruchomości</w:t>
      </w:r>
    </w:p>
    <w:p w:rsidR="008E4784" w:rsidRDefault="008E4784" w:rsidP="00653B69">
      <w:pPr>
        <w:jc w:val="both"/>
      </w:pPr>
      <w:r>
        <w:t xml:space="preserve">4. Transakcja – rozumie się </w:t>
      </w:r>
      <w:r w:rsidR="00407C31">
        <w:t>przez to dokonywanie we własnym, jak i cudzym imieniu, na własny, jak i cudzy rachunek:</w:t>
      </w:r>
    </w:p>
    <w:p w:rsidR="007E3A5A" w:rsidRDefault="007E3A5A" w:rsidP="00653B69">
      <w:pPr>
        <w:jc w:val="both"/>
      </w:pPr>
      <w:r>
        <w:t>a) wpłaty i wypłaty w formie gotówkowej lub bezgotówkowej, w tym przekazy pieniężne w rozumieniu art. 2 pkt. 7 rozporządzenia nr 1781/2006, tj. transakcje realizowane drogą elektroniczną przez dostawców usług płatniczych w imieniu zleceniodawcy w celu udostępnienia środków odbiorcy obsługiwanemu przez dostawcę usług płatniczych bez względu na to, czy zleceniodawca i odbiorca jest tą samą osobą, zlecone zarówno na terytorium Rzeczpospolitej Polskiej, jak i poza nim,</w:t>
      </w:r>
    </w:p>
    <w:p w:rsidR="007E3A5A" w:rsidRDefault="007E3A5A" w:rsidP="00653B69">
      <w:pPr>
        <w:jc w:val="both"/>
      </w:pPr>
      <w:r>
        <w:t>b) kupno i sprzedaż wartości dewizowych,</w:t>
      </w:r>
    </w:p>
    <w:p w:rsidR="007E3A5A" w:rsidRDefault="007E3A5A" w:rsidP="00653B69">
      <w:pPr>
        <w:jc w:val="both"/>
      </w:pPr>
      <w:r>
        <w:t>c) przeniesienie prawa własności lub posiadania wartości majątkowych, w tym oddanie w komis lub pod zastaw takich wartości, oraz przeniesienie wartości majątkowych pomiędzy rachunkami należącymi do tego samego klienta,</w:t>
      </w:r>
    </w:p>
    <w:p w:rsidR="007E3A5A" w:rsidRDefault="007E3A5A" w:rsidP="00653B69">
      <w:pPr>
        <w:jc w:val="both"/>
      </w:pPr>
      <w:r>
        <w:t>d) zamianę wierzytelności na akcje lub udziały,</w:t>
      </w:r>
    </w:p>
    <w:p w:rsidR="00AB6DFF" w:rsidRDefault="00AB6DFF" w:rsidP="00653B69">
      <w:pPr>
        <w:jc w:val="both"/>
      </w:pPr>
      <w:r>
        <w:lastRenderedPageBreak/>
        <w:t>5. P</w:t>
      </w:r>
      <w:r w:rsidR="007E3A5A">
        <w:t xml:space="preserve">rzeprowadzenie transakcji – rozumie się przez to wykonanie zlecenia lub dyspozycji klienta przez Fundację </w:t>
      </w:r>
      <w:r>
        <w:t>(np. darowizna dokonana przez Fundację, dofinansowanie określonych działań w oparciu o umowy cywilnoprawne, itp.)</w:t>
      </w:r>
    </w:p>
    <w:p w:rsidR="00AB6DFF" w:rsidRDefault="00AB6DFF" w:rsidP="00653B69">
      <w:pPr>
        <w:jc w:val="both"/>
      </w:pPr>
      <w:r>
        <w:t>6. Wstrzymanie transakcji – rozumie się przez to czasowe ograniczenie dysponowania i korzystania z wartości majątkowych, polegające na uniemożliwieniu przeprowadzenia określonych transakcji przez Fundację</w:t>
      </w:r>
    </w:p>
    <w:p w:rsidR="00AB6DFF" w:rsidRDefault="00AB6DFF" w:rsidP="00653B69">
      <w:pPr>
        <w:jc w:val="both"/>
      </w:pPr>
      <w:r>
        <w:t>7. Zamrożenie – rozumie się przez to zapobieganie przenoszeniu, zmianie, wykorzystaniu wartości majątkowych lub przeprowadzeniu transakcji w jakikolwiek sposób, który może spowodować zmianę ich wielkości, wartości, miejsca, własności, posiadania, charakteru, przeznaczenia lub jakąkolwiek inną zmianę, która może umożliwić korzystanie z wartości majątkowych</w:t>
      </w:r>
    </w:p>
    <w:p w:rsidR="00AB6DFF" w:rsidRDefault="00AB6DFF" w:rsidP="00653B69">
      <w:pPr>
        <w:jc w:val="both"/>
      </w:pPr>
      <w:r>
        <w:t xml:space="preserve">8. Jednostki współpracujące – rozumie się przez to organy administracji rządowej i samorządu terytorialnego oraz inne państwowe jednostki organizacyjne, a także Narodowy Bank Polski, Komisję </w:t>
      </w:r>
      <w:r w:rsidR="007F1A6C">
        <w:t>Nadzoru Finansowego i Najwyższą Izbę Kontroli</w:t>
      </w:r>
    </w:p>
    <w:p w:rsidR="007F1A6C" w:rsidRDefault="007F1A6C" w:rsidP="00653B69">
      <w:pPr>
        <w:jc w:val="both"/>
      </w:pPr>
      <w:r>
        <w:t xml:space="preserve">9. Stosunki gospodarcze – rozumie się przez to relacje Fundacji z klientem związane z działalnością gospodarczą Fundacji, w rozumieniu ustawy </w:t>
      </w:r>
      <w:r w:rsidR="008C418B">
        <w:t>z dnia 2 lipca 2004 roku o swobodzie działalności gospodarczej, które w chwili ich nawiązywania rokują długotrwałą współpracę</w:t>
      </w:r>
    </w:p>
    <w:p w:rsidR="008C418B" w:rsidRDefault="008C418B" w:rsidP="00653B69">
      <w:pPr>
        <w:jc w:val="both"/>
      </w:pPr>
      <w:r>
        <w:t>10. Rachunek – rozumie się przez to rachunek bankowy, rachunek prowadzony w instytucji finansowej, rachunek prowadzony w instytucji kredytowej, rachunek w spółdzielczej kasie oszczędnościowo-kredytowej, rachunek papierów wartościowych i rachunek pieniężny służący do jego obsługi, rejestr uczestników funduszu, ewidencję uczestników funduszu inwestycyjnego</w:t>
      </w:r>
    </w:p>
    <w:p w:rsidR="008C418B" w:rsidRDefault="008C418B" w:rsidP="00653B69">
      <w:pPr>
        <w:jc w:val="both"/>
      </w:pPr>
      <w:r>
        <w:t xml:space="preserve">11. Osoby </w:t>
      </w:r>
      <w:r w:rsidR="002A5EA0">
        <w:t xml:space="preserve">zajmujące eksponowane stanowiska polityczne – rozumie się przez to niżej wymienione osoby fizyczne: </w:t>
      </w:r>
    </w:p>
    <w:p w:rsidR="002A5EA0" w:rsidRDefault="002A5EA0" w:rsidP="00653B69">
      <w:pPr>
        <w:jc w:val="both"/>
      </w:pPr>
      <w:r>
        <w:t xml:space="preserve">a) szefów państw, szefów rządów, ministrów, wiceministrów lub zastępców ministrów, członków parlamentu, sędziów sądów najwyższych, trybunałów konstytucyjnych oraz innych organów sądowych, których orzeczenia nie podlegają zaskarżeniu, z wyjątkiem trybów nadzwyczajnych, członków trybunałów obrachunkowych, członków zarządów banków centralnych, ambasadorów, </w:t>
      </w:r>
      <w:proofErr w:type="spellStart"/>
      <w:r>
        <w:t>charg</w:t>
      </w:r>
      <w:r>
        <w:rPr>
          <w:rFonts w:cs="Arial"/>
        </w:rPr>
        <w:t>é</w:t>
      </w:r>
      <w:r>
        <w:t>s</w:t>
      </w:r>
      <w:proofErr w:type="spellEnd"/>
      <w:r>
        <w:t xml:space="preserve"> </w:t>
      </w:r>
      <w:proofErr w:type="spellStart"/>
      <w:r>
        <w:t>d’affairs</w:t>
      </w:r>
      <w:proofErr w:type="spellEnd"/>
      <w:r>
        <w:t xml:space="preserve"> oraz wyższych oficerów sił zbrojnych, członków organów zarządzających lub nadzorczych przedsiębiorstw państwowych – którzy sprawują lub sprawowali te funkcje publiczne w okresie roku od dnia zaprzestania spełniania przesłanek określonych w tych przepisach,</w:t>
      </w:r>
    </w:p>
    <w:p w:rsidR="002A5EA0" w:rsidRDefault="002A5EA0" w:rsidP="00653B69">
      <w:pPr>
        <w:jc w:val="both"/>
      </w:pPr>
      <w:r>
        <w:t>b) małżonków osób, o których mowa w lit. a, lub osoby pozostające z nimi we wspólnym pożyciu, rodziców i dzieci osób, o których mowa w lit. a, małżonków tych rodziców i d</w:t>
      </w:r>
      <w:r w:rsidR="00332778">
        <w:t>zieci lub osoby pozostające z nimi we wspólnym pożyciu,</w:t>
      </w:r>
    </w:p>
    <w:p w:rsidR="00332778" w:rsidRDefault="00332778" w:rsidP="00653B69">
      <w:pPr>
        <w:jc w:val="both"/>
      </w:pPr>
      <w:r>
        <w:t>c) które pozostają lub pozostawały z osobami, o których mowa w lit. a, w ścisłej współpracy zawodowej lub gospodarczej lub są współwłaścicielami podmiotów prawa, a także jedynymi uprawnionymi do majątku podmiotów prawa, jeżeli zostały one założone na rzecz tych osób – mające miejsce zamieszkania poza terytorium Rzeczpospolitej Polskiej,</w:t>
      </w:r>
    </w:p>
    <w:p w:rsidR="00626F6F" w:rsidRDefault="00626F6F" w:rsidP="00653B69">
      <w:pPr>
        <w:jc w:val="both"/>
      </w:pPr>
      <w:r>
        <w:t>12. Beneficjent rzeczywisty – rozumie się przez to:</w:t>
      </w:r>
    </w:p>
    <w:p w:rsidR="002D3364" w:rsidRDefault="00626F6F" w:rsidP="00653B69">
      <w:pPr>
        <w:jc w:val="both"/>
      </w:pPr>
      <w:r>
        <w:lastRenderedPageBreak/>
        <w:t xml:space="preserve">a) </w:t>
      </w:r>
      <w:r w:rsidR="002D3364">
        <w:t>osobę fizyczną lub osoby fizyczne, które są właścicielami osoby prawnej lub sprawują kontrolę nad klientem albo mają wpływ na osobę fizyczną, w imieniu której przeprowadzana jest transakcja lub prowadzona działalność,</w:t>
      </w:r>
    </w:p>
    <w:p w:rsidR="00626F6F" w:rsidRDefault="002D3364" w:rsidP="00653B69">
      <w:pPr>
        <w:jc w:val="both"/>
      </w:pPr>
      <w:r>
        <w:t xml:space="preserve">b) </w:t>
      </w:r>
      <w:r w:rsidR="00626F6F">
        <w:t>osobę fizyczną lub osoby fizyczne, które są udziałowcami lub akcjonariuszami lub posiadają prawo głosu na zgromadzeniu wspólników w wysokości powyżej 25% w tej osobie prawnej, w tym za pomocą pakietów akcji na okaziciela, z wyjątkiem spółek, których papiery wartościowe są w obrocie zorganizowanym</w:t>
      </w:r>
      <w:r w:rsidR="00995BF4">
        <w:t>, podlegających lub stosujących  przepisy prawa Unii Europejskiej w zakresie ujawniania informacji, a także podmiotów świadczących usługi finansowe na terytorium państwa członkowskiego Unii Europejskiej, albo państwa równoważnego – w przypadku osób prawnych,</w:t>
      </w:r>
    </w:p>
    <w:p w:rsidR="002D3364" w:rsidRDefault="002D3364" w:rsidP="00653B69">
      <w:pPr>
        <w:jc w:val="both"/>
      </w:pPr>
      <w:r>
        <w:t>c) osobę fizyczną lub osoby fizyczne, które sprawują kontrolę nad co najmniej 25% majątku – w przypadku podmiotów, którym powierzono administrowanie wartościami majątkowymi oraz rozdzielenie takich wartości, z wyjątkiem podmiotów wykonujących czynności, a których mowa w art. 69 ust. 2 pkt. 4 ustawy z dnia 29 lipca 2005 roku o obrocie instrumentami finansowymi,</w:t>
      </w:r>
    </w:p>
    <w:p w:rsidR="002D3364" w:rsidRDefault="002D3364" w:rsidP="00653B69">
      <w:pPr>
        <w:jc w:val="both"/>
      </w:pPr>
      <w:r>
        <w:t xml:space="preserve">13) </w:t>
      </w:r>
      <w:r w:rsidR="001378AE">
        <w:t>Koordynator – osoba odpowiedzialna za wykonywanie obowiązków określonych w Ustawie i niniejszej Instrukcji, której Zarząd Fundacji powierzył pełnienie tych funkcji</w:t>
      </w:r>
    </w:p>
    <w:p w:rsidR="001378AE" w:rsidRDefault="001378AE" w:rsidP="00653B69">
      <w:pPr>
        <w:jc w:val="both"/>
      </w:pPr>
      <w:r>
        <w:t xml:space="preserve">14) Kontroler – osoba wyznaczona przez Zarząd odpowiedzialna za prowadzenie cyklicznych analiz oraz ocen i/lub dokonywanie zapisów w rejestrze transakcji. </w:t>
      </w:r>
    </w:p>
    <w:p w:rsidR="001378AE" w:rsidRDefault="00963110" w:rsidP="00653B69">
      <w:pPr>
        <w:jc w:val="both"/>
      </w:pPr>
      <w:r>
        <w:rPr>
          <w:rFonts w:cs="Arial"/>
        </w:rPr>
        <w:t>§</w:t>
      </w:r>
      <w:r>
        <w:t xml:space="preserve"> 3.</w:t>
      </w:r>
    </w:p>
    <w:p w:rsidR="00963110" w:rsidRDefault="00963110" w:rsidP="00653B69">
      <w:pPr>
        <w:jc w:val="both"/>
      </w:pPr>
      <w:r>
        <w:t>1. Do realizacji postanowień Instrukcji zobowiązani są przede wszystkim Koordynator i Kontroler.</w:t>
      </w:r>
    </w:p>
    <w:p w:rsidR="00963110" w:rsidRDefault="00963110" w:rsidP="00653B69">
      <w:pPr>
        <w:jc w:val="both"/>
      </w:pPr>
      <w:r>
        <w:t>2. Poza osobami wymienionymi w ust. 1 z postanowieniami niniejszej Instrukcji winni zapoznać się wszyscy pracownicy Fundacji. Pracownicy Fundacji zobowiązani są również wspierać wymienione w ust. 1 osoby, w realizacji obowiązków wynikających z Ustawy i postanowień niniejszej Instrukcji.</w:t>
      </w:r>
    </w:p>
    <w:p w:rsidR="00963110" w:rsidRDefault="00963110" w:rsidP="00653B69">
      <w:pPr>
        <w:jc w:val="both"/>
      </w:pPr>
      <w:r>
        <w:rPr>
          <w:rFonts w:cs="Arial"/>
        </w:rPr>
        <w:t>§</w:t>
      </w:r>
      <w:r>
        <w:t xml:space="preserve"> 4. </w:t>
      </w:r>
    </w:p>
    <w:p w:rsidR="00963110" w:rsidRDefault="00963110" w:rsidP="00653B69">
      <w:pPr>
        <w:jc w:val="both"/>
      </w:pPr>
      <w:r>
        <w:t>Podstawę prawną dla Instrukcji stanowią w szczególności:</w:t>
      </w:r>
    </w:p>
    <w:p w:rsidR="00C51E39" w:rsidRDefault="00653B69" w:rsidP="00653B69">
      <w:pPr>
        <w:jc w:val="both"/>
      </w:pPr>
      <w:r>
        <w:t>Ustawa z dnia 1marca 2018 roku o przeciwdziałaniu praniu brudnych pieniędzy oraz finansowaniu terroryzmu (Dz. U. 2018 poz. 7</w:t>
      </w:r>
      <w:r w:rsidR="000036A0">
        <w:t>23).</w:t>
      </w:r>
    </w:p>
    <w:p w:rsidR="00866395" w:rsidRDefault="00AA1EC6" w:rsidP="00653B69">
      <w:pPr>
        <w:jc w:val="both"/>
        <w:rPr>
          <w:rFonts w:cs="Arial"/>
          <w:color w:val="222222"/>
          <w:shd w:val="clear" w:color="auto" w:fill="FFFFFF"/>
        </w:rPr>
      </w:pPr>
      <w:r>
        <w:rPr>
          <w:rFonts w:cs="Arial"/>
          <w:color w:val="222222"/>
          <w:shd w:val="clear" w:color="auto" w:fill="FFFFFF"/>
        </w:rPr>
        <w:t>§5.</w:t>
      </w:r>
      <w:r>
        <w:rPr>
          <w:rFonts w:cs="Arial"/>
          <w:color w:val="222222"/>
        </w:rPr>
        <w:br/>
      </w:r>
      <w:r>
        <w:rPr>
          <w:rFonts w:cs="Arial"/>
          <w:color w:val="222222"/>
          <w:shd w:val="clear" w:color="auto" w:fill="FFFFFF"/>
        </w:rPr>
        <w:t>1. Nieprzestrzeganie postanowień niniejszej Instrukcji może doprowadzić do zastosowania wobec pracownika kar przewidzianych w Kodeksie Pracy, a w stosunku do osób wykonujących na rzecz Fundacji czynności na podstawie umów prawa cywilnego, stanowić podstawę wypowiedzenia umowy cywilnoprawnej w trybie natychmiastowym oraz poniesienia odpowiedzialności odszkodowawczej na zasadach ogólnych kodeksu cywilnego.</w:t>
      </w:r>
      <w:r>
        <w:rPr>
          <w:rFonts w:cs="Arial"/>
          <w:color w:val="222222"/>
        </w:rPr>
        <w:br/>
      </w:r>
      <w:r>
        <w:rPr>
          <w:rFonts w:cs="Arial"/>
          <w:color w:val="222222"/>
          <w:shd w:val="clear" w:color="auto" w:fill="FFFFFF"/>
        </w:rPr>
        <w:t xml:space="preserve">2. Dopuszczanie się przez pracownika lub osoby wykonującej na rzecz Fundacji świadczenia pracy na podstawie umów prawa cywilnego, naruszenie przepisów karnych, określonych w załączniku nr 2 do Instrukcji, rodzi odpowiedzialność karną i zagrożone jest karą pozbawienia wolności, grzywny oraz przepadkiem przedmiotów i korzyści pochodzące z </w:t>
      </w:r>
      <w:r>
        <w:rPr>
          <w:rFonts w:cs="Arial"/>
          <w:color w:val="222222"/>
          <w:shd w:val="clear" w:color="auto" w:fill="FFFFFF"/>
        </w:rPr>
        <w:lastRenderedPageBreak/>
        <w:t>przestępstwa.</w:t>
      </w:r>
      <w:r>
        <w:rPr>
          <w:rFonts w:cs="Arial"/>
          <w:color w:val="222222"/>
        </w:rPr>
        <w:br/>
      </w:r>
      <w:r>
        <w:rPr>
          <w:rFonts w:cs="Arial"/>
          <w:color w:val="222222"/>
          <w:shd w:val="clear" w:color="auto" w:fill="FFFFFF"/>
        </w:rPr>
        <w:t>3. Pracownicy Fundacji oraz osoby wykonujące na rzecz Fundacji czynności na podstawie umów prawa cywilnego zobowiązani są do zachowania w tajemnicy informacji, które uzyskali w toku wykonywania czynności w zakresie określone ustawą wymienione w §4 Instrukcji. Obowiązek zachowania tajemnicy obowiązuje również po ustaniu stosunku pracy lub zaprzestaniu wykonywania czynności na podstawie umów prawa cywilnego.</w:t>
      </w:r>
      <w:r>
        <w:rPr>
          <w:rFonts w:cs="Arial"/>
          <w:color w:val="222222"/>
        </w:rPr>
        <w:br/>
      </w:r>
      <w:r>
        <w:rPr>
          <w:rFonts w:cs="Arial"/>
          <w:color w:val="222222"/>
          <w:shd w:val="clear" w:color="auto" w:fill="FFFFFF"/>
        </w:rPr>
        <w:t xml:space="preserve">4. Zabronione jest ujawnienie osobą nie uprawnionym, w tym także stroną transakcji faktu poinformowania </w:t>
      </w:r>
      <w:proofErr w:type="spellStart"/>
      <w:r>
        <w:rPr>
          <w:rFonts w:cs="Arial"/>
          <w:color w:val="222222"/>
          <w:shd w:val="clear" w:color="auto" w:fill="FFFFFF"/>
        </w:rPr>
        <w:t>GIIF</w:t>
      </w:r>
      <w:proofErr w:type="spellEnd"/>
      <w:r>
        <w:rPr>
          <w:rFonts w:cs="Arial"/>
          <w:color w:val="222222"/>
          <w:shd w:val="clear" w:color="auto" w:fill="FFFFFF"/>
        </w:rPr>
        <w:t xml:space="preserve"> o transakcjach, których okoliczności wskazują, że wartości majątkowe mogą pochodzić z nielegalnych lub nie ujawnionych źródeł, albo o rachunkach podmiotów, co do których zachodzi uzasadnione podejrzenie, że mają związek z popełnieniem aktów terrorystycznych, oraz o transakcjach dokonywanych przez te podmioty.</w:t>
      </w:r>
      <w:r>
        <w:rPr>
          <w:rFonts w:cs="Arial"/>
          <w:color w:val="222222"/>
        </w:rPr>
        <w:br/>
      </w:r>
      <w:r>
        <w:rPr>
          <w:rFonts w:cs="Arial"/>
          <w:color w:val="222222"/>
        </w:rPr>
        <w:br/>
      </w:r>
      <w:r w:rsidRPr="00866395">
        <w:rPr>
          <w:rFonts w:cs="Arial"/>
          <w:b/>
          <w:color w:val="222222"/>
          <w:shd w:val="clear" w:color="auto" w:fill="FFFFFF"/>
        </w:rPr>
        <w:t>Rozdział II </w:t>
      </w:r>
    </w:p>
    <w:p w:rsidR="00866395" w:rsidRDefault="00AA1EC6" w:rsidP="00653B69">
      <w:pPr>
        <w:jc w:val="both"/>
        <w:rPr>
          <w:rFonts w:cs="Arial"/>
          <w:color w:val="222222"/>
          <w:shd w:val="clear" w:color="auto" w:fill="FFFFFF"/>
        </w:rPr>
      </w:pPr>
      <w:r w:rsidRPr="00866395">
        <w:rPr>
          <w:rFonts w:cs="Arial"/>
          <w:color w:val="222222"/>
          <w:shd w:val="clear" w:color="auto" w:fill="FFFFFF"/>
        </w:rPr>
        <w:br/>
      </w:r>
      <w:r>
        <w:rPr>
          <w:rFonts w:cs="Arial"/>
          <w:color w:val="222222"/>
          <w:shd w:val="clear" w:color="auto" w:fill="FFFFFF"/>
        </w:rPr>
        <w:t>Obowiązki fundacji</w:t>
      </w:r>
    </w:p>
    <w:p w:rsidR="00866395" w:rsidRPr="00412563" w:rsidRDefault="00AA1EC6" w:rsidP="00412563">
      <w:pPr>
        <w:jc w:val="both"/>
        <w:rPr>
          <w:rFonts w:cs="Arial"/>
          <w:color w:val="222222"/>
          <w:shd w:val="clear" w:color="auto" w:fill="FFFFFF"/>
        </w:rPr>
      </w:pPr>
      <w:r>
        <w:rPr>
          <w:rFonts w:cs="Arial"/>
          <w:color w:val="222222"/>
        </w:rPr>
        <w:br/>
      </w:r>
      <w:r>
        <w:rPr>
          <w:rFonts w:cs="Arial"/>
          <w:color w:val="222222"/>
          <w:shd w:val="clear" w:color="auto" w:fill="FFFFFF"/>
        </w:rPr>
        <w:t>§6. </w:t>
      </w:r>
      <w:r>
        <w:rPr>
          <w:rFonts w:cs="Arial"/>
          <w:color w:val="222222"/>
        </w:rPr>
        <w:br/>
      </w:r>
      <w:r>
        <w:rPr>
          <w:rFonts w:cs="Arial"/>
          <w:color w:val="222222"/>
          <w:shd w:val="clear" w:color="auto" w:fill="FFFFFF"/>
        </w:rPr>
        <w:t>Dla uniknięcia wykorzystania Fundacji w procederze pranie pieniędzy i finansowaniu terroryzmu jak również w celu realizacji obowiązków wynikających z obowiązujących przepisów, dokonuje się w szczególności następujących czynności, opisanych w dalszej części Instrukcji:</w:t>
      </w:r>
      <w:r>
        <w:rPr>
          <w:rFonts w:cs="Arial"/>
          <w:color w:val="222222"/>
        </w:rPr>
        <w:br/>
      </w:r>
      <w:r>
        <w:rPr>
          <w:rFonts w:cs="Arial"/>
          <w:color w:val="222222"/>
          <w:shd w:val="clear" w:color="auto" w:fill="FFFFFF"/>
        </w:rPr>
        <w:t>1) wyznaczenie w Fundacji:</w:t>
      </w:r>
      <w:r>
        <w:rPr>
          <w:rFonts w:cs="Arial"/>
          <w:color w:val="222222"/>
        </w:rPr>
        <w:br/>
      </w:r>
      <w:r>
        <w:rPr>
          <w:rFonts w:cs="Arial"/>
          <w:color w:val="222222"/>
          <w:shd w:val="clear" w:color="auto" w:fill="FFFFFF"/>
        </w:rPr>
        <w:t>a) osoby odpowiedzialnej (Koordynatora) za wykonywanie obowiązków określonych w Ustawie i Instrukcji, w tym w szczególności:</w:t>
      </w:r>
      <w:r>
        <w:rPr>
          <w:rFonts w:cs="Arial"/>
          <w:color w:val="222222"/>
        </w:rPr>
        <w:br/>
      </w:r>
      <w:r>
        <w:rPr>
          <w:rFonts w:cs="Arial"/>
          <w:color w:val="222222"/>
          <w:shd w:val="clear" w:color="auto" w:fill="FFFFFF"/>
        </w:rPr>
        <w:t>- identyfikację klientów,</w:t>
      </w:r>
      <w:r>
        <w:rPr>
          <w:rFonts w:cs="Arial"/>
          <w:color w:val="222222"/>
        </w:rPr>
        <w:br/>
      </w:r>
      <w:r>
        <w:rPr>
          <w:rFonts w:cs="Arial"/>
          <w:color w:val="222222"/>
          <w:shd w:val="clear" w:color="auto" w:fill="FFFFFF"/>
        </w:rPr>
        <w:t>- prowadzenie rejestru transakcji i rejestrowanie transakcji,</w:t>
      </w:r>
      <w:r>
        <w:rPr>
          <w:rFonts w:cs="Arial"/>
          <w:color w:val="222222"/>
        </w:rPr>
        <w:br/>
      </w:r>
      <w:r>
        <w:rPr>
          <w:rFonts w:cs="Arial"/>
          <w:color w:val="222222"/>
          <w:shd w:val="clear" w:color="auto" w:fill="FFFFFF"/>
        </w:rPr>
        <w:t>- monitorowanie transakcji, analizę ryzyka transakcji i typowanie transakcji podejrzanych,</w:t>
      </w:r>
      <w:r>
        <w:rPr>
          <w:rFonts w:cs="Arial"/>
          <w:color w:val="222222"/>
        </w:rPr>
        <w:br/>
      </w:r>
      <w:r>
        <w:rPr>
          <w:rFonts w:cs="Arial"/>
          <w:color w:val="222222"/>
          <w:shd w:val="clear" w:color="auto" w:fill="FFFFFF"/>
        </w:rPr>
        <w:t xml:space="preserve">– przekazanie do </w:t>
      </w:r>
      <w:proofErr w:type="spellStart"/>
      <w:r>
        <w:rPr>
          <w:rFonts w:cs="Arial"/>
          <w:color w:val="222222"/>
          <w:shd w:val="clear" w:color="auto" w:fill="FFFFFF"/>
        </w:rPr>
        <w:t>GIIF</w:t>
      </w:r>
      <w:proofErr w:type="spellEnd"/>
      <w:r>
        <w:rPr>
          <w:rFonts w:cs="Arial"/>
          <w:color w:val="222222"/>
          <w:shd w:val="clear" w:color="auto" w:fill="FFFFFF"/>
        </w:rPr>
        <w:t xml:space="preserve"> informacji o zarejestrowanie transakcjach,</w:t>
      </w:r>
      <w:r>
        <w:rPr>
          <w:rFonts w:cs="Arial"/>
          <w:color w:val="222222"/>
        </w:rPr>
        <w:br/>
      </w:r>
      <w:r>
        <w:rPr>
          <w:rFonts w:cs="Arial"/>
          <w:color w:val="222222"/>
          <w:shd w:val="clear" w:color="auto" w:fill="FFFFFF"/>
        </w:rPr>
        <w:t xml:space="preserve">– zgłaszanie do </w:t>
      </w:r>
      <w:proofErr w:type="spellStart"/>
      <w:r>
        <w:rPr>
          <w:rFonts w:cs="Arial"/>
          <w:color w:val="222222"/>
          <w:shd w:val="clear" w:color="auto" w:fill="FFFFFF"/>
        </w:rPr>
        <w:t>GIIF</w:t>
      </w:r>
      <w:proofErr w:type="spellEnd"/>
      <w:r>
        <w:rPr>
          <w:rFonts w:cs="Arial"/>
          <w:color w:val="222222"/>
          <w:shd w:val="clear" w:color="auto" w:fill="FFFFFF"/>
        </w:rPr>
        <w:t xml:space="preserve"> Transakcji podejrzanych oraz tam gdzie zachodzi taka konieczność wstrzymywanie realizacji transakcji podejrzanych,</w:t>
      </w:r>
      <w:r>
        <w:rPr>
          <w:rFonts w:cs="Arial"/>
          <w:color w:val="222222"/>
        </w:rPr>
        <w:br/>
      </w:r>
      <w:r>
        <w:rPr>
          <w:rFonts w:cs="Arial"/>
          <w:color w:val="222222"/>
          <w:shd w:val="clear" w:color="auto" w:fill="FFFFFF"/>
        </w:rPr>
        <w:t xml:space="preserve">– współpraca z </w:t>
      </w:r>
      <w:proofErr w:type="spellStart"/>
      <w:r>
        <w:rPr>
          <w:rFonts w:cs="Arial"/>
          <w:color w:val="222222"/>
          <w:shd w:val="clear" w:color="auto" w:fill="FFFFFF"/>
        </w:rPr>
        <w:t>GIIF</w:t>
      </w:r>
      <w:proofErr w:type="spellEnd"/>
      <w:r>
        <w:rPr>
          <w:rFonts w:cs="Arial"/>
          <w:color w:val="222222"/>
          <w:shd w:val="clear" w:color="auto" w:fill="FFFFFF"/>
        </w:rPr>
        <w:t xml:space="preserve"> w zakresie prowadzonej korespondencji dotyczącej w szczególności kierowania do Fundacji zapytań o klientów, a także w ramach uprawnień kontrolnych </w:t>
      </w:r>
      <w:proofErr w:type="spellStart"/>
      <w:r>
        <w:rPr>
          <w:rFonts w:cs="Arial"/>
          <w:color w:val="222222"/>
          <w:shd w:val="clear" w:color="auto" w:fill="FFFFFF"/>
        </w:rPr>
        <w:t>GIIF</w:t>
      </w:r>
      <w:proofErr w:type="spellEnd"/>
      <w:r>
        <w:rPr>
          <w:rFonts w:cs="Arial"/>
          <w:color w:val="222222"/>
          <w:shd w:val="clear" w:color="auto" w:fill="FFFFFF"/>
        </w:rPr>
        <w:t>, </w:t>
      </w:r>
      <w:r>
        <w:rPr>
          <w:rFonts w:cs="Arial"/>
          <w:color w:val="222222"/>
        </w:rPr>
        <w:br/>
      </w:r>
      <w:r>
        <w:rPr>
          <w:rFonts w:cs="Arial"/>
          <w:color w:val="222222"/>
          <w:shd w:val="clear" w:color="auto" w:fill="FFFFFF"/>
        </w:rPr>
        <w:t>2) Szkolenie osób odpowiedzialnych za przeciwdziałanie praniu pieniędzy i finansowaniu terroryzmu.</w:t>
      </w:r>
      <w:r>
        <w:rPr>
          <w:rFonts w:cs="Arial"/>
          <w:color w:val="222222"/>
        </w:rPr>
        <w:br/>
      </w:r>
      <w:r>
        <w:rPr>
          <w:rFonts w:cs="Arial"/>
          <w:color w:val="222222"/>
        </w:rPr>
        <w:br/>
      </w:r>
      <w:r w:rsidRPr="00866395">
        <w:rPr>
          <w:rFonts w:cs="Arial"/>
          <w:b/>
          <w:color w:val="222222"/>
          <w:shd w:val="clear" w:color="auto" w:fill="FFFFFF"/>
        </w:rPr>
        <w:t>Rozdział III </w:t>
      </w:r>
    </w:p>
    <w:p w:rsidR="00E746F6" w:rsidRPr="00866395" w:rsidRDefault="00AA1EC6" w:rsidP="00653B69">
      <w:pPr>
        <w:jc w:val="both"/>
        <w:rPr>
          <w:rFonts w:cs="Arial"/>
          <w:color w:val="222222"/>
          <w:shd w:val="clear" w:color="auto" w:fill="FFFFFF"/>
        </w:rPr>
      </w:pPr>
      <w:r>
        <w:rPr>
          <w:rFonts w:cs="Arial"/>
          <w:color w:val="222222"/>
        </w:rPr>
        <w:br/>
      </w:r>
      <w:r>
        <w:rPr>
          <w:rFonts w:cs="Arial"/>
          <w:color w:val="222222"/>
          <w:shd w:val="clear" w:color="auto" w:fill="FFFFFF"/>
        </w:rPr>
        <w:t>Organizacja</w:t>
      </w:r>
      <w:r>
        <w:rPr>
          <w:rFonts w:cs="Arial"/>
          <w:color w:val="222222"/>
        </w:rPr>
        <w:br/>
      </w:r>
      <w:r>
        <w:rPr>
          <w:rFonts w:cs="Arial"/>
          <w:color w:val="222222"/>
          <w:shd w:val="clear" w:color="auto" w:fill="FFFFFF"/>
        </w:rPr>
        <w:t>§7.</w:t>
      </w:r>
      <w:r>
        <w:rPr>
          <w:rFonts w:cs="Arial"/>
          <w:color w:val="222222"/>
        </w:rPr>
        <w:br/>
      </w:r>
      <w:r>
        <w:rPr>
          <w:rFonts w:cs="Arial"/>
          <w:color w:val="222222"/>
          <w:shd w:val="clear" w:color="auto" w:fill="FFFFFF"/>
        </w:rPr>
        <w:t>1.  Nadzór i koordynację nad realizacją instrukcji sprawuje Koordynator.</w:t>
      </w:r>
      <w:r>
        <w:rPr>
          <w:rFonts w:cs="Arial"/>
          <w:color w:val="222222"/>
        </w:rPr>
        <w:br/>
      </w:r>
      <w:r>
        <w:rPr>
          <w:rFonts w:cs="Arial"/>
          <w:color w:val="222222"/>
          <w:shd w:val="clear" w:color="auto" w:fill="FFFFFF"/>
        </w:rPr>
        <w:t>2. Koordynator jest osobą odpowiedzialna za realizację i wykonanie obowiązków określonych w Ustawie i Instrukcji, w tym analizę ryzyka transakcji i prowadzenie rejestru transakcji, oraz wykonywanie czynności opisane w dalszej części Instrukcji, w tym w powyższym §6. </w:t>
      </w:r>
      <w:r>
        <w:rPr>
          <w:rFonts w:cs="Arial"/>
          <w:color w:val="222222"/>
        </w:rPr>
        <w:br/>
      </w:r>
      <w:r>
        <w:rPr>
          <w:rFonts w:cs="Arial"/>
          <w:color w:val="222222"/>
          <w:shd w:val="clear" w:color="auto" w:fill="FFFFFF"/>
        </w:rPr>
        <w:t xml:space="preserve">3. W celu właściwej realizacji obowiązków zarząd </w:t>
      </w:r>
      <w:proofErr w:type="spellStart"/>
      <w:r>
        <w:rPr>
          <w:rFonts w:cs="Arial"/>
          <w:color w:val="222222"/>
          <w:shd w:val="clear" w:color="auto" w:fill="FFFFFF"/>
        </w:rPr>
        <w:t>Foundacji</w:t>
      </w:r>
      <w:proofErr w:type="spellEnd"/>
      <w:r>
        <w:rPr>
          <w:rFonts w:cs="Arial"/>
          <w:color w:val="222222"/>
          <w:shd w:val="clear" w:color="auto" w:fill="FFFFFF"/>
        </w:rPr>
        <w:t xml:space="preserve"> w drodze uchwały może wyznaczyć spośród podległych sobie pracowników kontrolera (Kontrolerów), odpowiedzialnej </w:t>
      </w:r>
      <w:r>
        <w:rPr>
          <w:rFonts w:cs="Arial"/>
          <w:color w:val="222222"/>
          <w:shd w:val="clear" w:color="auto" w:fill="FFFFFF"/>
        </w:rPr>
        <w:lastRenderedPageBreak/>
        <w:t>za prowadzenie cyklicznych analiz oraz wprowadzających dane do Rejestru transakcji. </w:t>
      </w:r>
      <w:r>
        <w:rPr>
          <w:rFonts w:cs="Arial"/>
          <w:color w:val="222222"/>
        </w:rPr>
        <w:br/>
      </w:r>
      <w:r>
        <w:rPr>
          <w:rFonts w:cs="Arial"/>
          <w:color w:val="222222"/>
        </w:rPr>
        <w:br/>
      </w:r>
      <w:r>
        <w:rPr>
          <w:rFonts w:cs="Arial"/>
          <w:color w:val="222222"/>
          <w:shd w:val="clear" w:color="auto" w:fill="FFFFFF"/>
        </w:rPr>
        <w:t>§8. </w:t>
      </w:r>
      <w:r>
        <w:rPr>
          <w:rFonts w:cs="Arial"/>
          <w:color w:val="222222"/>
        </w:rPr>
        <w:br/>
      </w:r>
      <w:r>
        <w:rPr>
          <w:rFonts w:cs="Arial"/>
          <w:color w:val="222222"/>
          <w:shd w:val="clear" w:color="auto" w:fill="FFFFFF"/>
        </w:rPr>
        <w:t>Koordynator kontroluje realizacją przepisów instrukcji i co najmniej raz w roku informuje Prezesa z Zarządu o wynikach przeprowadzonej przez siebie kontroli. </w:t>
      </w:r>
    </w:p>
    <w:p w:rsidR="00E746F6" w:rsidRPr="00866395" w:rsidRDefault="00E746F6" w:rsidP="00653B69">
      <w:pPr>
        <w:jc w:val="both"/>
        <w:rPr>
          <w:b/>
        </w:rPr>
      </w:pPr>
      <w:r w:rsidRPr="00866395">
        <w:rPr>
          <w:b/>
        </w:rPr>
        <w:t>Rozdział IV</w:t>
      </w:r>
    </w:p>
    <w:p w:rsidR="00E746F6" w:rsidRDefault="00E746F6" w:rsidP="00653B69">
      <w:pPr>
        <w:jc w:val="both"/>
      </w:pPr>
      <w:r>
        <w:t>Identyfikacja klientów</w:t>
      </w:r>
    </w:p>
    <w:p w:rsidR="00E746F6" w:rsidRDefault="00E746F6" w:rsidP="00653B69">
      <w:pPr>
        <w:jc w:val="both"/>
      </w:pPr>
      <w:r>
        <w:rPr>
          <w:rFonts w:cs="Arial"/>
        </w:rPr>
        <w:t>§</w:t>
      </w:r>
      <w:r>
        <w:t xml:space="preserve"> 9.</w:t>
      </w:r>
    </w:p>
    <w:p w:rsidR="00E746F6" w:rsidRDefault="00E746F6" w:rsidP="00653B69">
      <w:pPr>
        <w:jc w:val="both"/>
      </w:pPr>
      <w:r>
        <w:t xml:space="preserve">1. Koordynator lub Kontroler prowadzi bieżącą analizę przeprowadzanych transakcji i jej wyniki dokumentuje w formie papierowej lub elektronicznej. Wyniki analiz przechowywane są przez Koordynatora w miejscu przechowywania ksiąg rachunkowych przez okres 5 lat, licząc od pierwszego dnia roku następującego po roku, w którym zostały przeprowadzone. W przypadku likwidacji, połączenia, podziału lub przekształcenia Fundacji, do przechowywania dokumentacji stosuje się odpowiednio przepisy </w:t>
      </w:r>
      <w:r w:rsidR="00DF037D">
        <w:t>art. 76 ustawy z dnia 29 września 1994 roku o rachunkowości.</w:t>
      </w:r>
    </w:p>
    <w:p w:rsidR="00DF037D" w:rsidRDefault="00DF037D" w:rsidP="00653B69">
      <w:pPr>
        <w:jc w:val="both"/>
      </w:pPr>
      <w:r>
        <w:t>2. Fundacja stosuje wobec swoich klientów środki bezpieczeństwa finansowego. Zakres stosowania tych środków jest określany na podstawie oceny ryzyka prania pieniędzy i finansowania terroryzmu, zwanej dalej „oceną ryzyka”, w wyniku analizy dokonanej przez Koordynatora lub Kontrolera i z uwzględnieniem w szczególności rodzaju klienta, stosunków gospodarczych, produktów lub transakcji. Środki bezpieczeństwa polegają na:</w:t>
      </w:r>
    </w:p>
    <w:p w:rsidR="00DF037D" w:rsidRDefault="00DF037D" w:rsidP="00653B69">
      <w:pPr>
        <w:jc w:val="both"/>
      </w:pPr>
      <w:r>
        <w:t>1) Identyfikacji klienta i weryfikacji jego tożsamości na podstawie dokumentów lub informacji publicznie dostępnych, która obejmuje:</w:t>
      </w:r>
    </w:p>
    <w:p w:rsidR="00DF037D" w:rsidRDefault="00A94FC7" w:rsidP="00653B69">
      <w:pPr>
        <w:jc w:val="both"/>
      </w:pPr>
      <w:r>
        <w:t>- w przypadku osób fizycznych i ich przedstawicieli – ustalenie i zapisanie cech dokumentu stwierdzającego na podstawie odrębnych przepisów tożsamość osoby, a także imienia, nazwiska, obywatelska oraz adresu osoby dokonującej transakcji, a ponadto numeru PESEL lub daty urodzenia w przypadku osoby nieposiadającej numeru PESEL lub numeru dokumentu stwierdzającego tożsamość cudzoziemca, lub kodu kraju w przypadku przedstawienia paszportu,</w:t>
      </w:r>
    </w:p>
    <w:p w:rsidR="00A94FC7" w:rsidRDefault="00A94FC7" w:rsidP="00653B69">
      <w:pPr>
        <w:jc w:val="both"/>
      </w:pPr>
      <w:r>
        <w:t>- w przypadku osób prawnych – zapisanie aktualnych danych z wyciągu z rejestru sądowego lub innego dokumentu, wskazującego nazwę (firmę), formę organizacyjną osoby prawnej, siedzibę i jej adres</w:t>
      </w:r>
      <w:r w:rsidR="004F3FB6">
        <w:t>, numer identyfikacji podatkowej, a także imienia, nazwiska i numeru PESEL lub daty urodzenia w przypadku osoby nieposiadającej numeru PESEL, osoby reprezentującej tę osobę prawną,</w:t>
      </w:r>
    </w:p>
    <w:p w:rsidR="004F3FB6" w:rsidRDefault="004F3FB6" w:rsidP="00653B69">
      <w:pPr>
        <w:jc w:val="both"/>
      </w:pPr>
      <w:r>
        <w:t>- w przypadku jednostek organizacyjnych niemających osobowości prawnej – zapisani aktualnych danych z dokumentu wskazującego nazwę, formę organizacyjną, siedzibę i jej adres, numer identyfikacji podatkowej, a także imienia, nazwiska i numeru PESEL lub daty urodzenia w przypadku osoby nieposiadającej numeru PESEL, osoby reprezentującej tę jednostkę.</w:t>
      </w:r>
    </w:p>
    <w:p w:rsidR="004F3FB6" w:rsidRDefault="004F3FB6" w:rsidP="00653B69">
      <w:pPr>
        <w:jc w:val="both"/>
      </w:pPr>
      <w:r>
        <w:t>Identyfikacja, o której mowa poniżej, dotyczy także stron transakcji niebędących klientami i obejmuje ustalenie i zapisanie ich nazwy (firmy) lub imienia i nazwiska oraz adresu, w zakresie, w jakim dane te Fundacja może ustalić przy zachowaniu należytej staranności.</w:t>
      </w:r>
    </w:p>
    <w:p w:rsidR="004F3FB6" w:rsidRDefault="004F3FB6" w:rsidP="00653B69">
      <w:pPr>
        <w:jc w:val="both"/>
      </w:pPr>
      <w:r>
        <w:lastRenderedPageBreak/>
        <w:t>2) Podejmowaniu czynności</w:t>
      </w:r>
      <w:r w:rsidR="0062071C">
        <w:t>, z zachowaniem należytej staranności, w celu identyfikacji beneficjenta rzeczywistego i stosowaniu uzależnionych od oceny ryzyka odpowiednich środków weryfikacji jego tożsamości w celu uzyskania przez Fundację danych dotyczących tożsamości beneficjenta rzeczywistego, w tym ustalenia struktury własności i zależności klienta; identyfikacja w takich wypadku obejmuje ustalenie i zapisanie imienia, nazwiska i adresu oraz dodatkowo innych danych identyfikacyjnych, o których mowa powyżej</w:t>
      </w:r>
      <w:r w:rsidR="008F5B58">
        <w:t xml:space="preserve"> w pkt. 1 w zakresie, w jakim Fundacja może je ustalić </w:t>
      </w:r>
    </w:p>
    <w:p w:rsidR="008F5B58" w:rsidRDefault="008F5B58" w:rsidP="00653B69">
      <w:pPr>
        <w:jc w:val="both"/>
      </w:pPr>
      <w:r>
        <w:t>3) Uzyskiwaniu informacji dotyczących celu i zamierzonego przez klienta charakteru stosunków gospodarczych</w:t>
      </w:r>
    </w:p>
    <w:p w:rsidR="008F5B58" w:rsidRDefault="008F5B58" w:rsidP="00653B69">
      <w:pPr>
        <w:jc w:val="both"/>
      </w:pPr>
      <w:r>
        <w:t xml:space="preserve">4) Bieżącego monitorowania stosunków gospodarczych z klientem, w tym badaniu przeprowadzonych transakcji w celu zapewnienia, że przeprowadzane transakcje są zgodne z wiedzą Fundacji o kliencie i profilu jego działalności oraz ryzykiem, a także w miarę możliwości, badaniu źródła pochodzenia wartości majątkowych oraz bieżącym aktualizowaniu posiadanych dokumentów i informacji. </w:t>
      </w:r>
    </w:p>
    <w:p w:rsidR="006D463C" w:rsidRDefault="006D463C" w:rsidP="00653B69">
      <w:pPr>
        <w:jc w:val="both"/>
      </w:pPr>
      <w:r>
        <w:t>3. Środki bezpieczeństwa finansowego są stosowane w szczególności:</w:t>
      </w:r>
    </w:p>
    <w:p w:rsidR="006D463C" w:rsidRDefault="006D463C" w:rsidP="00653B69">
      <w:pPr>
        <w:jc w:val="both"/>
      </w:pPr>
      <w:r>
        <w:t>1) przy zawieraniu umowy z klientem,</w:t>
      </w:r>
    </w:p>
    <w:p w:rsidR="006D463C" w:rsidRDefault="006D463C" w:rsidP="00653B69">
      <w:pPr>
        <w:jc w:val="both"/>
      </w:pPr>
      <w:r>
        <w:t>2) przy przeprowadzania transakcji z klientem, z którym Fundacja nie zawarła umowy, której równowartość przekracza 10 000 Euro, bez względu na to czy transakcja jest przeprowadzana jako pojedyncza operacja czy kilka operacji, których okoliczności wskazują, że są one ze sobą powiązane,</w:t>
      </w:r>
    </w:p>
    <w:p w:rsidR="006D463C" w:rsidRDefault="006D463C" w:rsidP="00653B69">
      <w:pPr>
        <w:jc w:val="both"/>
      </w:pPr>
      <w:r>
        <w:t xml:space="preserve">3) gdy istnieje podejrzenie prania pieniędzy lub finansowania terroryzmu bez względu </w:t>
      </w:r>
      <w:r w:rsidR="00874CD6">
        <w:t>na wartość transakcji, formę organizacyjną oraz rodzaj klienta,</w:t>
      </w:r>
    </w:p>
    <w:p w:rsidR="00874CD6" w:rsidRDefault="00874CD6" w:rsidP="00653B69">
      <w:pPr>
        <w:jc w:val="both"/>
      </w:pPr>
      <w:r>
        <w:t>4) gdy zachodzi wątpliwość czy otrzymane wcześniej dane,  o kliencie o których mowa powyżej w ust. 2 pkt. 1 są prawdziwe lub pełne.</w:t>
      </w:r>
    </w:p>
    <w:p w:rsidR="00874CD6" w:rsidRDefault="00874CD6" w:rsidP="00653B69">
      <w:pPr>
        <w:jc w:val="both"/>
      </w:pPr>
      <w:r>
        <w:t xml:space="preserve">4. W przypadku gdy nie jest możliwe wykonanie obowiązków,  o których mowa w ust. 2 pkt. 1 Fundacja nie przeprowadza transakcji, a Koordynator wstrzymuje podpisanie umowy z klientem lub wnioskuje o rozwiązanie zawartych umów oraz przekazuje </w:t>
      </w:r>
      <w:proofErr w:type="spellStart"/>
      <w:r>
        <w:t>GIIF</w:t>
      </w:r>
      <w:proofErr w:type="spellEnd"/>
      <w:r w:rsidR="008348B6">
        <w:t>, (w uzasadnionych przypadkach z uwzględnieniem ryzyka prania pieniędzy oraz finansowania terroryzmu), informacje o danym kliencie wraz z posiadanymi informacjami o planowanej przez niego transakcji.</w:t>
      </w:r>
    </w:p>
    <w:p w:rsidR="008348B6" w:rsidRDefault="008348B6" w:rsidP="00653B69">
      <w:pPr>
        <w:jc w:val="both"/>
      </w:pPr>
      <w:r>
        <w:t xml:space="preserve">5. Koordynator w imieniu Fundacji na żądanie organów informacji finansowej </w:t>
      </w:r>
      <w:r w:rsidR="009B042B">
        <w:t>oraz innych organów uprawnionych na mocy Ustawy, wykazuje zastosowane środki bezpieczeństwa finansowego w związku z ryzykiem prania pieniędzy i finansowania terroryzmu.</w:t>
      </w:r>
    </w:p>
    <w:p w:rsidR="009B042B" w:rsidRPr="00866395" w:rsidRDefault="009B042B" w:rsidP="00653B69">
      <w:pPr>
        <w:jc w:val="both"/>
        <w:rPr>
          <w:b/>
        </w:rPr>
      </w:pPr>
      <w:r w:rsidRPr="00866395">
        <w:rPr>
          <w:b/>
        </w:rPr>
        <w:t>Rozdział V</w:t>
      </w:r>
    </w:p>
    <w:p w:rsidR="009B042B" w:rsidRDefault="009B042B" w:rsidP="00653B69">
      <w:pPr>
        <w:jc w:val="both"/>
      </w:pPr>
      <w:r>
        <w:rPr>
          <w:rFonts w:cs="Arial"/>
        </w:rPr>
        <w:t>§</w:t>
      </w:r>
      <w:r>
        <w:t xml:space="preserve"> 10.</w:t>
      </w:r>
    </w:p>
    <w:p w:rsidR="009B042B" w:rsidRDefault="009B042B" w:rsidP="00653B69">
      <w:pPr>
        <w:jc w:val="both"/>
      </w:pPr>
      <w:r>
        <w:t xml:space="preserve">1. Przed przeprowadzeniem </w:t>
      </w:r>
      <w:r w:rsidR="004B66E7">
        <w:t>transakcji Koordynator lub Kontroler zobowiązany jest do dokonania weryfikacji prawidłowości podanych przez klienta informacji identyfikacyjnych. Weryfikacja może się odbyć między innymi w jeden z następujących sposób:</w:t>
      </w:r>
    </w:p>
    <w:p w:rsidR="004B66E7" w:rsidRDefault="004B66E7" w:rsidP="00653B69">
      <w:pPr>
        <w:jc w:val="both"/>
      </w:pPr>
      <w:r>
        <w:lastRenderedPageBreak/>
        <w:t>1) telefonicznie (próba połączenia się z klientem) lub w formie elektronicznej za pośrednictwem poczty elektronicznej lub poprzez analizę informacji internetowych a także innych informacji publicznie dostępnych,</w:t>
      </w:r>
    </w:p>
    <w:p w:rsidR="004B66E7" w:rsidRDefault="004B66E7" w:rsidP="00653B69">
      <w:pPr>
        <w:jc w:val="both"/>
      </w:pPr>
      <w:r>
        <w:t>2) korespondencyjnie poprzez wysyłanie pod adres klienta informacji, które spowodują odzew klienta</w:t>
      </w:r>
      <w:r w:rsidR="00CB3970">
        <w:t>,</w:t>
      </w:r>
    </w:p>
    <w:p w:rsidR="00CB3970" w:rsidRDefault="00CB3970" w:rsidP="00653B69">
      <w:pPr>
        <w:jc w:val="both"/>
      </w:pPr>
      <w:r>
        <w:t>3) osobiście (jeżeli klient podaje ogólnie znany adres, znajdujący się w pobliżu).</w:t>
      </w:r>
    </w:p>
    <w:p w:rsidR="00CB3970" w:rsidRDefault="00CB3970" w:rsidP="00653B69">
      <w:pPr>
        <w:jc w:val="both"/>
      </w:pPr>
      <w:r>
        <w:t>2. W przypadku zaistnienia okoliczności świadczących o tym, że uzyskane od klienta informacje są nieprawdziwe (np. w wyniku kontaktu lub próby kontaktu okazało się, że pod podanym adresem lub numerem telefonu nie można skontaktować się z daną osobą lub podmiotem), Koordynator lub Kontroler dokonuje odpowiedniej adnotacji w rejestrze transakcji a następnie informuje o tym fakcie Prezesa Zarządu.</w:t>
      </w:r>
    </w:p>
    <w:p w:rsidR="00CB3970" w:rsidRDefault="00CB3970" w:rsidP="00653B69">
      <w:pPr>
        <w:jc w:val="both"/>
      </w:pPr>
      <w:r>
        <w:rPr>
          <w:rFonts w:cs="Arial"/>
        </w:rPr>
        <w:t>§</w:t>
      </w:r>
      <w:r>
        <w:t xml:space="preserve"> 11.</w:t>
      </w:r>
    </w:p>
    <w:p w:rsidR="00CB3970" w:rsidRDefault="00F97DB7" w:rsidP="00653B69">
      <w:pPr>
        <w:jc w:val="both"/>
      </w:pPr>
      <w:r>
        <w:t>1. Koordynator lub Kontroler stosują, na podstawie analizy ryzyka, wzmożone środki bezpieczeństwa finansowego wobec klienta w przypadkach,  które mogą wiązać się z wyższym ryzykiem prania pieniędzy lub finansowania terroryzmu, a w szczególności w przypadkach wymienionych poniżej w ust. 2-5.</w:t>
      </w:r>
    </w:p>
    <w:p w:rsidR="00D93B70" w:rsidRDefault="00D93B70" w:rsidP="00653B69">
      <w:pPr>
        <w:jc w:val="both"/>
      </w:pPr>
      <w:r>
        <w:t>2. W przypadku gdy klient nie jest obecny, dla celów identyfikacji stosuje się, w celu zmniejszenia ryzyka, co najmniej jeden z następujących środków:</w:t>
      </w:r>
    </w:p>
    <w:p w:rsidR="00D93B70" w:rsidRDefault="00D93B70" w:rsidP="00653B69">
      <w:pPr>
        <w:jc w:val="both"/>
      </w:pPr>
      <w:r>
        <w:t>1) ustalenie tożsamości klienta na podstawie dodatkowych dokumentów lub informacji;</w:t>
      </w:r>
    </w:p>
    <w:p w:rsidR="00D93B70" w:rsidRDefault="00D93B70" w:rsidP="00653B69">
      <w:pPr>
        <w:jc w:val="both"/>
      </w:pPr>
      <w:r>
        <w:t>2) dodatkową weryfikację autentyczności przedstawianych dokumentów lub poświadczenie ich zgodności z oryginałem przez notariusza, organ administracji rządowej, organ samorządu terytorialnego lub podmiot świadczący usługi finansowe;</w:t>
      </w:r>
    </w:p>
    <w:p w:rsidR="00D93B70" w:rsidRDefault="00D93B70" w:rsidP="00653B69">
      <w:pPr>
        <w:jc w:val="both"/>
      </w:pPr>
      <w:r>
        <w:t>3) ustalenie, ze pierwsza transakcja została przeprowadzona za pośrednictwem rachunku klienta w podmiocie świadczącym usługi finansowe.</w:t>
      </w:r>
    </w:p>
    <w:p w:rsidR="00D93B70" w:rsidRDefault="00D93B70" w:rsidP="00653B69">
      <w:pPr>
        <w:jc w:val="both"/>
      </w:pPr>
      <w:r>
        <w:t>3. W odniesieniu do osób zajmujących eksponowane stanowiska polityczne Koordynator lub Kontroler:</w:t>
      </w:r>
    </w:p>
    <w:p w:rsidR="00D93B70" w:rsidRDefault="00D93B70" w:rsidP="00653B69">
      <w:pPr>
        <w:jc w:val="both"/>
      </w:pPr>
      <w:r>
        <w:t>1) oceniają ryzyko, poprzez sprawdzenie na podstawie ogólnie dostępnych informacji, w tym informacji zawartych w Internecie, czy klienta jest osobą zajmującą eksponowane stanowisko polityczne,</w:t>
      </w:r>
    </w:p>
    <w:p w:rsidR="00D93B70" w:rsidRDefault="00D93B70" w:rsidP="00653B69">
      <w:pPr>
        <w:jc w:val="both"/>
      </w:pPr>
      <w:r>
        <w:t xml:space="preserve">2) podejmują możliwe środku w celu ustalenia źródła pochodzenia wprowadzanych do obrotu </w:t>
      </w:r>
      <w:r w:rsidR="00E550B5">
        <w:t>wartości majątkowych,</w:t>
      </w:r>
    </w:p>
    <w:p w:rsidR="00E550B5" w:rsidRDefault="00E550B5" w:rsidP="00653B69">
      <w:pPr>
        <w:jc w:val="both"/>
      </w:pPr>
      <w:r>
        <w:t>3) prowadzą stałą kontrolę przeprowadzanych transakcji,</w:t>
      </w:r>
    </w:p>
    <w:p w:rsidR="00E550B5" w:rsidRDefault="00E550B5" w:rsidP="00653B69">
      <w:pPr>
        <w:jc w:val="both"/>
      </w:pPr>
      <w:r>
        <w:t>4) informują Koordynatora o potrzebie odstąpienia od zawarcia umowy z klientem chyba, że Prezes Zarządu wyrazi zgodę na jej zawarcie lub Prezes Zarządu podpisze taką umowę,</w:t>
      </w:r>
    </w:p>
    <w:p w:rsidR="00E550B5" w:rsidRDefault="00E550B5" w:rsidP="00653B69">
      <w:pPr>
        <w:jc w:val="both"/>
      </w:pPr>
      <w:r>
        <w:t>4. Na wniosek Koordynatora Fundacja może przyjmować oświadczenia na piśmie, czy dany klient jest osobą zajmującą eksponowane stanowisko polityczne, pod rygorem odpowiedzialności karnej za podanie danych niezgodnych ze stanem faktycznym</w:t>
      </w:r>
      <w:r w:rsidR="002D1E18">
        <w:t>.</w:t>
      </w:r>
    </w:p>
    <w:p w:rsidR="002D1E18" w:rsidRDefault="002D1E18" w:rsidP="00653B69">
      <w:pPr>
        <w:jc w:val="both"/>
      </w:pPr>
      <w:r>
        <w:rPr>
          <w:rFonts w:cs="Arial"/>
        </w:rPr>
        <w:lastRenderedPageBreak/>
        <w:t>§</w:t>
      </w:r>
      <w:r>
        <w:t xml:space="preserve"> 12. </w:t>
      </w:r>
    </w:p>
    <w:p w:rsidR="002D1E18" w:rsidRDefault="002D1E18" w:rsidP="00653B69">
      <w:pPr>
        <w:jc w:val="both"/>
      </w:pPr>
      <w:r>
        <w:t xml:space="preserve">1. Fundacja na podstawie zlecenia lub dyspozycji przyjętej lub otrzymanej przez podmiot świadczący usługi finansowe, mający siedzibę na terytorium państwa członkowskiego Unii Europejskiej lub państwa równoważnego, uznaje obowiązki,  o których mowa w </w:t>
      </w:r>
      <w:r>
        <w:rPr>
          <w:rFonts w:cs="Arial"/>
        </w:rPr>
        <w:t>§</w:t>
      </w:r>
      <w:r>
        <w:t xml:space="preserve"> 10 ust. 2 pkt. 1-3 za wykonane pod warunkiem zapewnienia przekazania na każde żądanie instytucji obowiązanej kopii dokumentów lub informacji potwierdzających zastosowanie środków bezpieczeństwa finansowego.</w:t>
      </w:r>
    </w:p>
    <w:p w:rsidR="002D1E18" w:rsidRDefault="002D1E18" w:rsidP="00653B69">
      <w:pPr>
        <w:jc w:val="both"/>
      </w:pPr>
      <w:r>
        <w:t>2. Koordynator lub Kontroler przyjmujący w imieniu Fundacji zlecenie lub dyspozycję udostępnia niezwłocznie</w:t>
      </w:r>
      <w:r w:rsidR="00A05F90">
        <w:t xml:space="preserve">, na żądanie powyższej instytucji przeprowadzającej transakcję, kopię dokumentów i informacji,  o których mowa w ust. 1. </w:t>
      </w:r>
    </w:p>
    <w:p w:rsidR="00A05F90" w:rsidRDefault="00A05F90" w:rsidP="00653B69">
      <w:pPr>
        <w:jc w:val="both"/>
      </w:pPr>
      <w:r>
        <w:t>3. Fundacja nie stosuje przepisu ust. 1 w przypadkach gdy środki bezpieczeństwa finansowego zostały wykonane przez podmiot świadczący usługi finansowe, związane z transferem środków pieniężnych.</w:t>
      </w:r>
    </w:p>
    <w:p w:rsidR="00A05F90" w:rsidRDefault="00A05F90" w:rsidP="00653B69">
      <w:pPr>
        <w:jc w:val="both"/>
      </w:pPr>
      <w:r>
        <w:t>4. Fundacja odstępuje przy uwzględnianiu ryzyka prania pieniędzy lub finansowania terroryzmu, od stosowania przepisów art. 10 ust. 3 pkt. 1-3 również w przypadku zgromadzenia informacji i ustalenia, że:</w:t>
      </w:r>
    </w:p>
    <w:p w:rsidR="00A05F90" w:rsidRDefault="003C3E2D" w:rsidP="00653B69">
      <w:pPr>
        <w:jc w:val="both"/>
      </w:pPr>
      <w:r>
        <w:t>1) klient jest podmiotem świadczącym usługi finansowe, mającym siedzibę na terytorium państwa członkowskiego Unii Europejskiej albo państwa równoważnego;</w:t>
      </w:r>
    </w:p>
    <w:p w:rsidR="003C3E2D" w:rsidRDefault="003C3E2D" w:rsidP="00653B69">
      <w:pPr>
        <w:jc w:val="both"/>
      </w:pPr>
      <w:r>
        <w:t>2) klient jest organem administracji rządowej, organem samorządu terytorialnego oraz organem egzekucyjnym.</w:t>
      </w:r>
    </w:p>
    <w:p w:rsidR="003C3E2D" w:rsidRDefault="003C3E2D" w:rsidP="00653B69">
      <w:pPr>
        <w:jc w:val="both"/>
      </w:pPr>
      <w:r>
        <w:t xml:space="preserve">2. W przypadku gdy klient jest spółką, której papiery wartościowe są dopuszczone do publicznego obrotu na rynku regulowanym w co najmniej jednym państwie członkowskim Unii Europejskiej lub w państwie równoważnym, przy uwzględnieniu ryzyka prania pieniędzy lub finansowania terroryzmu, ogranicza się stosowanie środków bezpieczeństwa finansowego do przypadków i środków określonych w </w:t>
      </w:r>
      <w:r>
        <w:rPr>
          <w:rFonts w:cs="Arial"/>
        </w:rPr>
        <w:t>§</w:t>
      </w:r>
      <w:r>
        <w:t xml:space="preserve"> 10 ust. 2 pkt. 1 oraz ust. 3 pkt. 1 i 3. </w:t>
      </w:r>
    </w:p>
    <w:p w:rsidR="006D5B81" w:rsidRDefault="006D5B81" w:rsidP="00653B69">
      <w:pPr>
        <w:jc w:val="both"/>
      </w:pPr>
      <w:r>
        <w:rPr>
          <w:rFonts w:cs="Arial"/>
        </w:rPr>
        <w:t>§</w:t>
      </w:r>
      <w:r>
        <w:t xml:space="preserve"> 13. </w:t>
      </w:r>
    </w:p>
    <w:p w:rsidR="006D5B81" w:rsidRDefault="006D5B81" w:rsidP="00653B69">
      <w:pPr>
        <w:jc w:val="both"/>
      </w:pPr>
      <w:r>
        <w:t xml:space="preserve">Wyniki analiz dokumentowane w formie papierowej lub elektronicznej oraz informacje uzyskiwane w wyniku stosowania środków bezpieczeństwa finansowego oraz rejestr transakcji przechowuje się przez okres co najmniej 5 lat, licząc od pierwszego dnia roku następującego po roku, w którym dokonano ostatniego zapisu związanego z transakcją. W przypadku likwidacji, połączenia, podziału lub przekształcenia Fundacji, do przechowywania dokumentacji stosuje się przepisy art. 76 ustawy z dnia 29 września 1994 roku o rachunkowości. </w:t>
      </w:r>
    </w:p>
    <w:p w:rsidR="00866395" w:rsidRPr="00866395" w:rsidRDefault="00AA1EC6" w:rsidP="00653B69">
      <w:pPr>
        <w:jc w:val="both"/>
        <w:rPr>
          <w:rFonts w:cs="Arial"/>
          <w:b/>
          <w:color w:val="222222"/>
          <w:shd w:val="clear" w:color="auto" w:fill="FFFFFF"/>
        </w:rPr>
      </w:pPr>
      <w:r w:rsidRPr="00866395">
        <w:rPr>
          <w:rFonts w:cs="Arial"/>
          <w:b/>
          <w:color w:val="222222"/>
          <w:shd w:val="clear" w:color="auto" w:fill="FFFFFF"/>
        </w:rPr>
        <w:t>Rozdział VI</w:t>
      </w:r>
    </w:p>
    <w:p w:rsidR="00D2614A" w:rsidRDefault="00AA1EC6" w:rsidP="00653B69">
      <w:pPr>
        <w:jc w:val="both"/>
      </w:pPr>
      <w:r>
        <w:rPr>
          <w:rFonts w:cs="Arial"/>
          <w:color w:val="222222"/>
        </w:rPr>
        <w:br/>
      </w:r>
      <w:r>
        <w:rPr>
          <w:rFonts w:cs="Arial"/>
          <w:color w:val="222222"/>
          <w:shd w:val="clear" w:color="auto" w:fill="FFFFFF"/>
        </w:rPr>
        <w:t>Rejestrowanie transakcji</w:t>
      </w:r>
      <w:r>
        <w:rPr>
          <w:rFonts w:cs="Arial"/>
          <w:color w:val="222222"/>
        </w:rPr>
        <w:br/>
      </w:r>
      <w:r>
        <w:rPr>
          <w:rFonts w:cs="Arial"/>
          <w:color w:val="222222"/>
          <w:shd w:val="clear" w:color="auto" w:fill="FFFFFF"/>
        </w:rPr>
        <w:t>§14</w:t>
      </w:r>
      <w:r>
        <w:rPr>
          <w:rFonts w:cs="Arial"/>
          <w:color w:val="222222"/>
        </w:rPr>
        <w:br/>
      </w:r>
      <w:r>
        <w:rPr>
          <w:rFonts w:cs="Arial"/>
          <w:color w:val="222222"/>
        </w:rPr>
        <w:br/>
      </w:r>
      <w:r>
        <w:rPr>
          <w:rFonts w:cs="Arial"/>
          <w:color w:val="222222"/>
          <w:shd w:val="clear" w:color="auto" w:fill="FFFFFF"/>
        </w:rPr>
        <w:t xml:space="preserve">1. Koordynator lub Kontroler mają obowiązek rejestrować wynikające z dyspozycji (zlecenia) klienta transakcje, których równowartość przekracza 15.000 EURO, zarówno gdy transakcja </w:t>
      </w:r>
      <w:r>
        <w:rPr>
          <w:rFonts w:cs="Arial"/>
          <w:color w:val="222222"/>
          <w:shd w:val="clear" w:color="auto" w:fill="FFFFFF"/>
        </w:rPr>
        <w:lastRenderedPageBreak/>
        <w:t xml:space="preserve">jest dokonywana w ramach pojedynczej operacji, jak i w ramach kilku operacji, jeżeli okoliczności wskazują że pozostają one ze </w:t>
      </w:r>
      <w:proofErr w:type="spellStart"/>
      <w:r>
        <w:rPr>
          <w:rFonts w:cs="Arial"/>
          <w:color w:val="222222"/>
          <w:shd w:val="clear" w:color="auto" w:fill="FFFFFF"/>
        </w:rPr>
        <w:t>soba</w:t>
      </w:r>
      <w:proofErr w:type="spellEnd"/>
      <w:r>
        <w:rPr>
          <w:rFonts w:cs="Arial"/>
          <w:color w:val="222222"/>
          <w:shd w:val="clear" w:color="auto" w:fill="FFFFFF"/>
        </w:rPr>
        <w:t xml:space="preserve"> w związku, stanowiąc transakcję powiązaną. </w:t>
      </w:r>
      <w:r>
        <w:rPr>
          <w:rFonts w:cs="Arial"/>
          <w:color w:val="222222"/>
        </w:rPr>
        <w:br/>
      </w:r>
      <w:r>
        <w:rPr>
          <w:rFonts w:cs="Arial"/>
          <w:color w:val="222222"/>
          <w:shd w:val="clear" w:color="auto" w:fill="FFFFFF"/>
        </w:rPr>
        <w:t>2. Transakcja powiązana to co najmniej dwie lub więcej transakcji jednostkowy o wartości każdej z nich poniżej 10 000 EURO, jeżeli ich Łączna wartość przekracza 10 000 EURO, a okoliczności ich dokonywania wskazują, że posłużono się więcej niż jedną transakcję w celu uniknięcia ujawnienia wobec fundacji przekroczenia wartości 10 000  EURO kwoty progowej, powodujące rejestrację transakcji. </w:t>
      </w:r>
      <w:r>
        <w:rPr>
          <w:rFonts w:cs="Arial"/>
          <w:color w:val="222222"/>
        </w:rPr>
        <w:br/>
      </w:r>
      <w:r>
        <w:rPr>
          <w:rFonts w:cs="Arial"/>
          <w:color w:val="222222"/>
          <w:shd w:val="clear" w:color="auto" w:fill="FFFFFF"/>
        </w:rPr>
        <w:t>3. Powiązanie transakcji jednostkowych może być:</w:t>
      </w:r>
      <w:r>
        <w:rPr>
          <w:rFonts w:cs="Arial"/>
          <w:color w:val="222222"/>
        </w:rPr>
        <w:br/>
      </w:r>
      <w:r>
        <w:rPr>
          <w:rFonts w:cs="Arial"/>
          <w:color w:val="222222"/>
          <w:shd w:val="clear" w:color="auto" w:fill="FFFFFF"/>
        </w:rPr>
        <w:t>    1). podmiotowe – w szczególności gdy występuje tożsamość zlecającego lub beneficjenta (a także ich pełnomocników, przypadku osób prawnych także składu i organów) lub identyczność numerów rachunków bankowych,</w:t>
      </w:r>
      <w:r>
        <w:rPr>
          <w:rFonts w:cs="Arial"/>
          <w:color w:val="222222"/>
        </w:rPr>
        <w:br/>
      </w:r>
      <w:r>
        <w:rPr>
          <w:rFonts w:cs="Arial"/>
          <w:color w:val="222222"/>
          <w:shd w:val="clear" w:color="auto" w:fill="FFFFFF"/>
        </w:rPr>
        <w:t>    2). Przedmiotowe – zbieżność deklarowanej ekonomicznej treści transakcji lub jej podstawy prawnej</w:t>
      </w:r>
      <w:r>
        <w:rPr>
          <w:rFonts w:cs="Arial"/>
          <w:color w:val="222222"/>
        </w:rPr>
        <w:br/>
      </w:r>
      <w:r>
        <w:rPr>
          <w:rFonts w:cs="Arial"/>
          <w:color w:val="222222"/>
          <w:shd w:val="clear" w:color="auto" w:fill="FFFFFF"/>
        </w:rPr>
        <w:t>4. Transakcja powiązane może być realizowana jednym zleceniem zbiorczym albo, co jest regułą, serio zleceń (dyspozycji). Nie ustala się okresu, w jakim taka seria zlecenie może stanowić o uznaniu transakcji jednostkowych za transakcje powiązane. Oznacza to, że w każdym czasie Główna Koordynator lub Kontroler powinien analizować każdą transakcję z udziałem klienta przez porównanie jej z innymi, wcześniejszymi transakcjami z jego udziałem, pod kątem ewentualnego uznania wystąpienia transakcji powiązanej. </w:t>
      </w:r>
      <w:r>
        <w:rPr>
          <w:rFonts w:cs="Arial"/>
          <w:color w:val="222222"/>
        </w:rPr>
        <w:br/>
      </w:r>
      <w:r>
        <w:rPr>
          <w:rFonts w:cs="Arial"/>
          <w:color w:val="222222"/>
          <w:shd w:val="clear" w:color="auto" w:fill="FFFFFF"/>
        </w:rPr>
        <w:t>5. Nie stanowią transakcji powiązanej następujące po sobie transakcje nawet w oczywisty sposób powiązane podmiotowe lub przedmiotowo, jeżeli w posiadanej przez Fundację wiedzy o będącym klientem Fundacji uczestniku transakcji, a w szczególności o jego działalności gospodarczej lub zawodowej wynika, że transakcje te można uznać za standardowe lub co najmniej racjonalnie wytłumaczalne.</w:t>
      </w:r>
      <w:r>
        <w:rPr>
          <w:rFonts w:cs="Arial"/>
          <w:color w:val="222222"/>
        </w:rPr>
        <w:br/>
      </w:r>
      <w:r>
        <w:rPr>
          <w:rFonts w:cs="Arial"/>
          <w:color w:val="222222"/>
          <w:shd w:val="clear" w:color="auto" w:fill="FFFFFF"/>
        </w:rPr>
        <w:t>6. Koordynator lub Kontroler mają obowiązek zarejestrować każdą transakcję z udziałem klienta, jeżeli okoliczności wskazują na związek z procederem prania pieniędzy lub finansowaniu terroryzmu, bez względu na wartość transakcji i karate (transakcji podejrzanych).</w:t>
      </w:r>
      <w:r>
        <w:rPr>
          <w:rFonts w:cs="Arial"/>
          <w:color w:val="222222"/>
        </w:rPr>
        <w:br/>
      </w:r>
      <w:r>
        <w:rPr>
          <w:rFonts w:cs="Arial"/>
          <w:color w:val="222222"/>
          <w:shd w:val="clear" w:color="auto" w:fill="FFFFFF"/>
        </w:rPr>
        <w:t>7. Obowiązek rejestrowania transakcji nie dotyczy:</w:t>
      </w:r>
      <w:r>
        <w:rPr>
          <w:rFonts w:cs="Arial"/>
          <w:color w:val="222222"/>
        </w:rPr>
        <w:br/>
      </w:r>
      <w:r>
        <w:rPr>
          <w:rFonts w:cs="Arial"/>
          <w:color w:val="222222"/>
          <w:shd w:val="clear" w:color="auto" w:fill="FFFFFF"/>
        </w:rPr>
        <w:t>      1.) przelewów przechodzących, z wyjątkiem przelewów przechodzących z zagranicy,</w:t>
      </w:r>
      <w:r>
        <w:rPr>
          <w:rFonts w:cs="Arial"/>
          <w:color w:val="222222"/>
        </w:rPr>
        <w:br/>
      </w:r>
      <w:r>
        <w:rPr>
          <w:rFonts w:cs="Arial"/>
          <w:color w:val="222222"/>
          <w:shd w:val="clear" w:color="auto" w:fill="FFFFFF"/>
        </w:rPr>
        <w:t>      2). transakcji związanych z gospodarką własną Fundacji</w:t>
      </w:r>
      <w:r>
        <w:rPr>
          <w:rFonts w:cs="Arial"/>
          <w:color w:val="222222"/>
        </w:rPr>
        <w:br/>
      </w:r>
      <w:r>
        <w:rPr>
          <w:rFonts w:cs="Arial"/>
          <w:color w:val="222222"/>
          <w:shd w:val="clear" w:color="auto" w:fill="FFFFFF"/>
        </w:rPr>
        <w:t>      3). Transakcji zawieranych na rynku międzybankowym,</w:t>
      </w:r>
      <w:r>
        <w:rPr>
          <w:rFonts w:cs="Arial"/>
          <w:color w:val="222222"/>
        </w:rPr>
        <w:br/>
      </w:r>
      <w:r>
        <w:rPr>
          <w:rFonts w:cs="Arial"/>
          <w:color w:val="222222"/>
          <w:shd w:val="clear" w:color="auto" w:fill="FFFFFF"/>
        </w:rPr>
        <w:t>      4). Transakcji w których klient jest podmiotem świadczącym usługi finansowe, mające siedzibę na terytorium państwa członkowskiego Unii Europejskiej albo państwa równoważnego,</w:t>
      </w:r>
      <w:r>
        <w:rPr>
          <w:rFonts w:cs="Arial"/>
          <w:color w:val="222222"/>
        </w:rPr>
        <w:br/>
      </w:r>
      <w:r>
        <w:rPr>
          <w:rFonts w:cs="Arial"/>
          <w:color w:val="222222"/>
          <w:shd w:val="clear" w:color="auto" w:fill="FFFFFF"/>
        </w:rPr>
        <w:t>      5). Transakcji z organami administracji rządowej, organami samorządu, terytorialnego oraz organami egzekucyjnymi,</w:t>
      </w:r>
      <w:r>
        <w:rPr>
          <w:rFonts w:cs="Arial"/>
          <w:color w:val="222222"/>
        </w:rPr>
        <w:br/>
      </w:r>
      <w:r>
        <w:rPr>
          <w:rFonts w:cs="Arial"/>
          <w:color w:val="222222"/>
          <w:shd w:val="clear" w:color="auto" w:fill="FFFFFF"/>
        </w:rPr>
        <w:t>     6). Transakcji tymczasowego przewłaszczenia na zabezpieczenie wartości majątkowych, wykonywanej na czas trwania umowy przewłaszczenia zawartej z Fundacją.</w:t>
      </w:r>
      <w:r>
        <w:rPr>
          <w:rFonts w:cs="Arial"/>
          <w:color w:val="222222"/>
        </w:rPr>
        <w:br/>
      </w:r>
      <w:r>
        <w:rPr>
          <w:rFonts w:cs="Arial"/>
          <w:color w:val="222222"/>
        </w:rPr>
        <w:br/>
      </w:r>
      <w:r>
        <w:rPr>
          <w:rFonts w:cs="Arial"/>
          <w:color w:val="222222"/>
          <w:shd w:val="clear" w:color="auto" w:fill="FFFFFF"/>
        </w:rPr>
        <w:t>§15.</w:t>
      </w:r>
      <w:r>
        <w:rPr>
          <w:rFonts w:cs="Arial"/>
          <w:color w:val="222222"/>
        </w:rPr>
        <w:br/>
      </w:r>
      <w:r>
        <w:rPr>
          <w:rFonts w:cs="Arial"/>
          <w:color w:val="222222"/>
          <w:shd w:val="clear" w:color="auto" w:fill="FFFFFF"/>
        </w:rPr>
        <w:t>1. Z uwzględnieniem postanowień i mniejszej Instrukcji, rejestracji podlegają w szczególności następujące kategorie transakcji:</w:t>
      </w:r>
      <w:r>
        <w:rPr>
          <w:rFonts w:cs="Arial"/>
          <w:color w:val="222222"/>
        </w:rPr>
        <w:br/>
      </w:r>
      <w:r>
        <w:rPr>
          <w:rFonts w:cs="Arial"/>
          <w:color w:val="222222"/>
          <w:shd w:val="clear" w:color="auto" w:fill="FFFFFF"/>
        </w:rPr>
        <w:t>   1) wypłata gotówkowa,</w:t>
      </w:r>
      <w:r>
        <w:rPr>
          <w:rFonts w:cs="Arial"/>
          <w:color w:val="222222"/>
        </w:rPr>
        <w:br/>
      </w:r>
      <w:r>
        <w:rPr>
          <w:rFonts w:cs="Arial"/>
          <w:color w:val="222222"/>
          <w:shd w:val="clear" w:color="auto" w:fill="FFFFFF"/>
        </w:rPr>
        <w:t>   2) wpłata gotówkowa,</w:t>
      </w:r>
      <w:r>
        <w:rPr>
          <w:rFonts w:cs="Arial"/>
          <w:color w:val="222222"/>
        </w:rPr>
        <w:br/>
      </w:r>
      <w:r>
        <w:rPr>
          <w:rFonts w:cs="Arial"/>
          <w:color w:val="222222"/>
          <w:shd w:val="clear" w:color="auto" w:fill="FFFFFF"/>
        </w:rPr>
        <w:t>   3) przelew przychodzący zagraniczny (tylko w przypadku uznania transakcji za podejrzana),</w:t>
      </w:r>
      <w:r>
        <w:rPr>
          <w:rFonts w:cs="Arial"/>
          <w:color w:val="222222"/>
        </w:rPr>
        <w:br/>
      </w:r>
      <w:r>
        <w:rPr>
          <w:rFonts w:cs="Arial"/>
          <w:color w:val="222222"/>
          <w:shd w:val="clear" w:color="auto" w:fill="FFFFFF"/>
        </w:rPr>
        <w:lastRenderedPageBreak/>
        <w:t>   4) zamiana wartości dewizowych,</w:t>
      </w:r>
      <w:r>
        <w:rPr>
          <w:rFonts w:cs="Arial"/>
          <w:color w:val="222222"/>
        </w:rPr>
        <w:br/>
      </w:r>
      <w:r>
        <w:rPr>
          <w:rFonts w:cs="Arial"/>
          <w:color w:val="222222"/>
          <w:shd w:val="clear" w:color="auto" w:fill="FFFFFF"/>
        </w:rPr>
        <w:t>   5) zamiana wierzytelności na akcje lub udziały,</w:t>
      </w:r>
      <w:r>
        <w:rPr>
          <w:rFonts w:cs="Arial"/>
          <w:color w:val="222222"/>
        </w:rPr>
        <w:br/>
      </w:r>
      <w:r>
        <w:rPr>
          <w:rFonts w:cs="Arial"/>
          <w:color w:val="222222"/>
          <w:shd w:val="clear" w:color="auto" w:fill="FFFFFF"/>
        </w:rPr>
        <w:t>   6) przeniesienie własności lub posiadania papierów wartościowych lub innych wartości dewizowych,</w:t>
      </w:r>
      <w:r>
        <w:rPr>
          <w:rFonts w:cs="Arial"/>
          <w:color w:val="222222"/>
        </w:rPr>
        <w:br/>
      </w:r>
      <w:r>
        <w:rPr>
          <w:rFonts w:cs="Arial"/>
          <w:color w:val="222222"/>
          <w:shd w:val="clear" w:color="auto" w:fill="FFFFFF"/>
        </w:rPr>
        <w:t>   7) przeniesienie własności lub posiadania środków płatniczych,</w:t>
      </w:r>
      <w:r>
        <w:rPr>
          <w:rFonts w:cs="Arial"/>
          <w:color w:val="222222"/>
        </w:rPr>
        <w:br/>
      </w:r>
      <w:r>
        <w:rPr>
          <w:rFonts w:cs="Arial"/>
          <w:color w:val="222222"/>
          <w:shd w:val="clear" w:color="auto" w:fill="FFFFFF"/>
        </w:rPr>
        <w:t>   8) przeniesienie prawa własności lub posiadania nieruchomości i rzeczy ruchomych,</w:t>
      </w:r>
      <w:r>
        <w:rPr>
          <w:rFonts w:cs="Arial"/>
          <w:color w:val="222222"/>
        </w:rPr>
        <w:br/>
      </w:r>
      <w:r>
        <w:rPr>
          <w:rFonts w:cs="Arial"/>
          <w:color w:val="222222"/>
          <w:shd w:val="clear" w:color="auto" w:fill="FFFFFF"/>
        </w:rPr>
        <w:t>   9) przeniesienie posiadania wartości majątkowych wyniku zawartej umowy zastawu lub komisu,</w:t>
      </w:r>
      <w:r>
        <w:rPr>
          <w:rFonts w:cs="Arial"/>
          <w:color w:val="222222"/>
        </w:rPr>
        <w:br/>
      </w:r>
      <w:r>
        <w:rPr>
          <w:rFonts w:cs="Arial"/>
          <w:color w:val="222222"/>
          <w:shd w:val="clear" w:color="auto" w:fill="FFFFFF"/>
        </w:rPr>
        <w:t>   10) przeniesienie własności lub posiadania innych niż wymienione powyżej wartości majątkowych. </w:t>
      </w:r>
      <w:r>
        <w:rPr>
          <w:rFonts w:cs="Arial"/>
          <w:color w:val="222222"/>
        </w:rPr>
        <w:br/>
      </w:r>
      <w:r>
        <w:rPr>
          <w:rFonts w:cs="Arial"/>
          <w:color w:val="222222"/>
          <w:shd w:val="clear" w:color="auto" w:fill="FFFFFF"/>
        </w:rPr>
        <w:t>2. Wymienione w ust. 1 transakcje podlegają rejestracji, gdy są dokonywane zarówno we własnym jaki cudzym imieniu oraz na własny, jak i cudzy rachunek.</w:t>
      </w:r>
      <w:r>
        <w:rPr>
          <w:rFonts w:cs="Arial"/>
          <w:color w:val="222222"/>
        </w:rPr>
        <w:br/>
      </w:r>
      <w:r>
        <w:rPr>
          <w:rFonts w:cs="Arial"/>
          <w:color w:val="222222"/>
        </w:rPr>
        <w:br/>
      </w:r>
      <w:r>
        <w:rPr>
          <w:rFonts w:cs="Arial"/>
          <w:color w:val="222222"/>
          <w:shd w:val="clear" w:color="auto" w:fill="FFFFFF"/>
        </w:rPr>
        <w:t>§16</w:t>
      </w:r>
      <w:r>
        <w:rPr>
          <w:rFonts w:cs="Arial"/>
          <w:color w:val="222222"/>
        </w:rPr>
        <w:br/>
      </w:r>
      <w:r>
        <w:rPr>
          <w:rFonts w:cs="Arial"/>
          <w:color w:val="222222"/>
          <w:shd w:val="clear" w:color="auto" w:fill="FFFFFF"/>
        </w:rPr>
        <w:t>Przy ustalaniu równowartość w EURO, o którym mowa w §15 ust. 1, stosuje się średni kurs Narodowego Banku Polskiego dla danej waluty, obowiązujący w dniu dokonania transakcji lub w dniu złożenia dyspozycji lub w dniu zlecenie przeprowadzenia transakcji. </w:t>
      </w:r>
      <w:r>
        <w:rPr>
          <w:rFonts w:cs="Arial"/>
          <w:color w:val="222222"/>
        </w:rPr>
        <w:br/>
      </w:r>
      <w:r>
        <w:rPr>
          <w:rFonts w:cs="Arial"/>
          <w:color w:val="222222"/>
        </w:rPr>
        <w:br/>
      </w:r>
      <w:r>
        <w:rPr>
          <w:rFonts w:cs="Arial"/>
          <w:color w:val="222222"/>
          <w:shd w:val="clear" w:color="auto" w:fill="FFFFFF"/>
        </w:rPr>
        <w:t>§17.</w:t>
      </w:r>
      <w:r>
        <w:rPr>
          <w:rFonts w:cs="Arial"/>
          <w:color w:val="222222"/>
        </w:rPr>
        <w:br/>
      </w:r>
      <w:r>
        <w:rPr>
          <w:rFonts w:cs="Arial"/>
          <w:color w:val="222222"/>
          <w:shd w:val="clear" w:color="auto" w:fill="FFFFFF"/>
        </w:rPr>
        <w:t>Informacje o transakcjach rejestrowanych powinny zawierać w szczególności następujące dane:</w:t>
      </w:r>
      <w:r>
        <w:rPr>
          <w:rFonts w:cs="Arial"/>
          <w:color w:val="222222"/>
        </w:rPr>
        <w:br/>
      </w:r>
      <w:r>
        <w:rPr>
          <w:rFonts w:cs="Arial"/>
          <w:color w:val="222222"/>
          <w:shd w:val="clear" w:color="auto" w:fill="FFFFFF"/>
        </w:rPr>
        <w:t>1) datę przeprowadzenie transakcji,</w:t>
      </w:r>
      <w:r>
        <w:rPr>
          <w:rFonts w:cs="Arial"/>
          <w:color w:val="222222"/>
        </w:rPr>
        <w:br/>
      </w:r>
      <w:r>
        <w:rPr>
          <w:rFonts w:cs="Arial"/>
          <w:color w:val="222222"/>
          <w:shd w:val="clear" w:color="auto" w:fill="FFFFFF"/>
        </w:rPr>
        <w:t>2) dane Identyfikacyjne strony transakcji, o których mowa w §10 ust.2, </w:t>
      </w:r>
      <w:r>
        <w:rPr>
          <w:rFonts w:cs="Arial"/>
          <w:color w:val="222222"/>
        </w:rPr>
        <w:br/>
      </w:r>
      <w:r>
        <w:rPr>
          <w:rFonts w:cs="Arial"/>
          <w:color w:val="222222"/>
          <w:shd w:val="clear" w:color="auto" w:fill="FFFFFF"/>
        </w:rPr>
        <w:t>3) kwotę, walutę oraz rodzaj transakcji,</w:t>
      </w:r>
      <w:r>
        <w:rPr>
          <w:rFonts w:cs="Arial"/>
          <w:color w:val="222222"/>
        </w:rPr>
        <w:br/>
      </w:r>
      <w:r>
        <w:rPr>
          <w:rFonts w:cs="Arial"/>
          <w:color w:val="222222"/>
          <w:shd w:val="clear" w:color="auto" w:fill="FFFFFF"/>
        </w:rPr>
        <w:t>4) numery rachunków, który został wykorzystany do dokonania transakcji oraz dane dotyczące posiadacza lub dysponenta rachunku,</w:t>
      </w:r>
      <w:r>
        <w:rPr>
          <w:rFonts w:cs="Arial"/>
          <w:color w:val="222222"/>
        </w:rPr>
        <w:br/>
      </w:r>
      <w:r>
        <w:rPr>
          <w:rFonts w:cs="Arial"/>
          <w:color w:val="222222"/>
          <w:shd w:val="clear" w:color="auto" w:fill="FFFFFF"/>
        </w:rPr>
        <w:t>5) uzasadnienie w przypadku rejestrowanie transakcji podejrzanej, oraz przypadku takich transakcji dodatkowo dane o stronę transakcji, będące w posiadaniu Fundacji</w:t>
      </w:r>
      <w:r>
        <w:rPr>
          <w:rFonts w:cs="Arial"/>
          <w:color w:val="222222"/>
        </w:rPr>
        <w:br/>
      </w:r>
      <w:r>
        <w:rPr>
          <w:rFonts w:cs="Arial"/>
          <w:color w:val="222222"/>
        </w:rPr>
        <w:br/>
      </w:r>
      <w:r>
        <w:rPr>
          <w:rFonts w:cs="Arial"/>
          <w:color w:val="222222"/>
          <w:shd w:val="clear" w:color="auto" w:fill="FFFFFF"/>
        </w:rPr>
        <w:t>§18.</w:t>
      </w:r>
      <w:r>
        <w:rPr>
          <w:rFonts w:cs="Arial"/>
          <w:color w:val="222222"/>
        </w:rPr>
        <w:br/>
      </w:r>
      <w:r>
        <w:rPr>
          <w:rFonts w:cs="Arial"/>
          <w:color w:val="222222"/>
          <w:shd w:val="clear" w:color="auto" w:fill="FFFFFF"/>
        </w:rPr>
        <w:t>1. Zbiór transakcji tworzy rejestr transakcji, który prowadzony jest w miejscu prowadzenia Ksiąg Rachunkowych, W formie papierowej i w postaci z broszury wanny oraz kolejno ponumerowanych kart transakcji, sporządzone i wypełniony oddzielnie dla każdej rejestrowanej transakcji.</w:t>
      </w:r>
      <w:r>
        <w:rPr>
          <w:rFonts w:cs="Arial"/>
          <w:color w:val="222222"/>
        </w:rPr>
        <w:br/>
      </w:r>
      <w:r>
        <w:rPr>
          <w:rFonts w:cs="Arial"/>
          <w:color w:val="222222"/>
          <w:shd w:val="clear" w:color="auto" w:fill="FFFFFF"/>
        </w:rPr>
        <w:t>2. Wzór karty transakcji określa rozporządzenie zgodnie, z którym rejestr ten, z uwzględnieniem niniejszej procedury, winien być prowadzone. Wzór karty transakcji stanowi załącznik nr 1 do niniejszej instrukcji. </w:t>
      </w:r>
      <w:r>
        <w:rPr>
          <w:rFonts w:cs="Arial"/>
          <w:color w:val="222222"/>
        </w:rPr>
        <w:br/>
      </w:r>
      <w:r>
        <w:rPr>
          <w:rFonts w:cs="Arial"/>
          <w:color w:val="222222"/>
          <w:shd w:val="clear" w:color="auto" w:fill="FFFFFF"/>
        </w:rPr>
        <w:t>3. Karty transakcji, o których mowa powyżej powinny być wypełniane ręcznie lub maszynowy, w sposób staranny, czytelne i trwały, a stwierdzone ewentualne błędy poprawione przez:</w:t>
      </w:r>
      <w:r>
        <w:rPr>
          <w:rFonts w:cs="Arial"/>
          <w:color w:val="222222"/>
        </w:rPr>
        <w:br/>
      </w:r>
      <w:r>
        <w:rPr>
          <w:rFonts w:cs="Arial"/>
          <w:color w:val="222222"/>
          <w:shd w:val="clear" w:color="auto" w:fill="FFFFFF"/>
        </w:rPr>
        <w:t>   1) skreślenie dotychczasowej treści i wpisanie nowych, z zachowaniem czytelności błędnego zapisu,</w:t>
      </w:r>
      <w:r>
        <w:rPr>
          <w:rFonts w:cs="Arial"/>
          <w:color w:val="222222"/>
        </w:rPr>
        <w:br/>
      </w:r>
      <w:r>
        <w:rPr>
          <w:rFonts w:cs="Arial"/>
          <w:color w:val="222222"/>
          <w:shd w:val="clear" w:color="auto" w:fill="FFFFFF"/>
        </w:rPr>
        <w:t>   2) umieszczenie daty oraz czytelnego podpisu osoby dokonującej poprawki.</w:t>
      </w:r>
      <w:r>
        <w:rPr>
          <w:rFonts w:cs="Arial"/>
          <w:color w:val="222222"/>
        </w:rPr>
        <w:br/>
      </w:r>
      <w:r>
        <w:rPr>
          <w:rFonts w:cs="Arial"/>
          <w:color w:val="222222"/>
          <w:shd w:val="clear" w:color="auto" w:fill="FFFFFF"/>
        </w:rPr>
        <w:t>4. Koordynator powinien zabezpieczyć prowadzony przez siebie rejestr w sposób umożliwiające dostęp do niego wyłącznie osobą, o którym mowa w §10 instrukcji.</w:t>
      </w:r>
      <w:r>
        <w:rPr>
          <w:rFonts w:cs="Arial"/>
          <w:color w:val="222222"/>
        </w:rPr>
        <w:br/>
      </w:r>
      <w:r>
        <w:rPr>
          <w:rFonts w:cs="Arial"/>
          <w:color w:val="222222"/>
        </w:rPr>
        <w:br/>
      </w:r>
      <w:r>
        <w:rPr>
          <w:rFonts w:cs="Arial"/>
          <w:color w:val="222222"/>
          <w:shd w:val="clear" w:color="auto" w:fill="FFFFFF"/>
        </w:rPr>
        <w:t>§19.</w:t>
      </w:r>
      <w:r>
        <w:rPr>
          <w:rFonts w:cs="Arial"/>
          <w:color w:val="222222"/>
        </w:rPr>
        <w:br/>
      </w:r>
      <w:r>
        <w:rPr>
          <w:rFonts w:cs="Arial"/>
          <w:color w:val="222222"/>
          <w:shd w:val="clear" w:color="auto" w:fill="FFFFFF"/>
        </w:rPr>
        <w:lastRenderedPageBreak/>
        <w:t>Dane do rejestru transakcji wprowadza się i zatwierdza bezzwłocznie, nie później jednak niż następnego dnia roboczego po zrealizowaniu transakcji. </w:t>
      </w:r>
    </w:p>
    <w:p w:rsidR="00AA1EC6" w:rsidRDefault="00AA1EC6" w:rsidP="00653B69">
      <w:pPr>
        <w:jc w:val="both"/>
      </w:pPr>
      <w:r>
        <w:rPr>
          <w:rFonts w:cs="Arial"/>
          <w:color w:val="222222"/>
          <w:shd w:val="clear" w:color="auto" w:fill="FFFFFF"/>
        </w:rPr>
        <w:t>Rozdział VII</w:t>
      </w:r>
      <w:r>
        <w:rPr>
          <w:rFonts w:cs="Arial"/>
          <w:color w:val="222222"/>
        </w:rPr>
        <w:br/>
      </w:r>
      <w:r>
        <w:rPr>
          <w:rFonts w:cs="Arial"/>
          <w:color w:val="222222"/>
          <w:shd w:val="clear" w:color="auto" w:fill="FFFFFF"/>
        </w:rPr>
        <w:t>Klasyfikacja klientów i analizowanie transakcji.</w:t>
      </w:r>
      <w:r>
        <w:rPr>
          <w:rFonts w:cs="Arial"/>
          <w:color w:val="222222"/>
        </w:rPr>
        <w:br/>
      </w:r>
      <w:r>
        <w:rPr>
          <w:rFonts w:cs="Arial"/>
          <w:color w:val="222222"/>
          <w:shd w:val="clear" w:color="auto" w:fill="FFFFFF"/>
        </w:rPr>
        <w:t>§ 20</w:t>
      </w:r>
      <w:r>
        <w:rPr>
          <w:rFonts w:cs="Arial"/>
          <w:color w:val="222222"/>
        </w:rPr>
        <w:br/>
      </w:r>
      <w:r>
        <w:rPr>
          <w:rFonts w:cs="Arial"/>
          <w:color w:val="222222"/>
          <w:shd w:val="clear" w:color="auto" w:fill="FFFFFF"/>
        </w:rPr>
        <w:t>W celu systematycznego prowadzenie analizy i oceny ryzyka transakcji dokonywanych przez klientów, Koordynator lub Kontroler dokonują analizy klientów i zawartych z nimi transakcji z punktu widzenia ryzyka ich wykorzystania do procederu prania pieniędzy, biorąc w szczególności pod uwagę przy dokonywaniu analizy i oceny następujące kryteria:</w:t>
      </w:r>
      <w:r>
        <w:rPr>
          <w:rFonts w:cs="Arial"/>
          <w:color w:val="222222"/>
        </w:rPr>
        <w:br/>
      </w:r>
      <w:r>
        <w:rPr>
          <w:rFonts w:cs="Arial"/>
          <w:color w:val="222222"/>
          <w:shd w:val="clear" w:color="auto" w:fill="FFFFFF"/>
        </w:rPr>
        <w:t xml:space="preserve">1) ekonomiczne – polegające na ocenie transakcji klienta </w:t>
      </w:r>
      <w:proofErr w:type="spellStart"/>
      <w:r>
        <w:rPr>
          <w:rFonts w:cs="Arial"/>
          <w:color w:val="222222"/>
          <w:shd w:val="clear" w:color="auto" w:fill="FFFFFF"/>
        </w:rPr>
        <w:t>podzględ</w:t>
      </w:r>
      <w:proofErr w:type="spellEnd"/>
      <w:r>
        <w:rPr>
          <w:rFonts w:cs="Arial"/>
          <w:color w:val="222222"/>
          <w:shd w:val="clear" w:color="auto" w:fill="FFFFFF"/>
        </w:rPr>
        <w:t xml:space="preserve"> </w:t>
      </w:r>
      <w:proofErr w:type="spellStart"/>
      <w:r>
        <w:rPr>
          <w:rFonts w:cs="Arial"/>
          <w:color w:val="222222"/>
          <w:shd w:val="clear" w:color="auto" w:fill="FFFFFF"/>
        </w:rPr>
        <w:t>am</w:t>
      </w:r>
      <w:proofErr w:type="spellEnd"/>
      <w:r>
        <w:rPr>
          <w:rFonts w:cs="Arial"/>
          <w:color w:val="222222"/>
          <w:shd w:val="clear" w:color="auto" w:fill="FFFFFF"/>
        </w:rPr>
        <w:t xml:space="preserve"> celów prowadzonej przez niego działalności gospodarczej;</w:t>
      </w:r>
      <w:r>
        <w:rPr>
          <w:rFonts w:cs="Arial"/>
          <w:color w:val="222222"/>
        </w:rPr>
        <w:br/>
      </w:r>
      <w:r>
        <w:rPr>
          <w:rFonts w:cs="Arial"/>
          <w:color w:val="222222"/>
          <w:shd w:val="clear" w:color="auto" w:fill="FFFFFF"/>
        </w:rPr>
        <w:t>2) geograficzne – polegająca na dokonywaniu transakcji nieuzasadniony charakterem działalności gospodarczej zawieranych z podmiotami z państw, których występuje wysokie zagrożenie prania pieniędzy i finansowaniu terroryzmu;</w:t>
      </w:r>
      <w:r>
        <w:rPr>
          <w:rFonts w:cs="Arial"/>
          <w:color w:val="222222"/>
        </w:rPr>
        <w:br/>
      </w:r>
      <w:r>
        <w:rPr>
          <w:rFonts w:cs="Arial"/>
          <w:color w:val="222222"/>
          <w:shd w:val="clear" w:color="auto" w:fill="FFFFFF"/>
        </w:rPr>
        <w:t>3) przedmiotowe – polegające na prowadzeniu przez klienta działalności gospodarczej wysokiego ryzyka z punktu widzenia podatności na pranie pieniędzy i finansowanie terroryzmu; </w:t>
      </w:r>
      <w:r>
        <w:rPr>
          <w:rFonts w:cs="Arial"/>
          <w:color w:val="222222"/>
        </w:rPr>
        <w:br/>
      </w:r>
      <w:r>
        <w:rPr>
          <w:rFonts w:cs="Arial"/>
          <w:color w:val="222222"/>
          <w:shd w:val="clear" w:color="auto" w:fill="FFFFFF"/>
        </w:rPr>
        <w:t>4) behawioralnym – polegające na nietypowym, w danej sytuacji, zachowań klienta.</w:t>
      </w:r>
      <w:r>
        <w:rPr>
          <w:rFonts w:cs="Arial"/>
          <w:color w:val="222222"/>
        </w:rPr>
        <w:br/>
      </w:r>
      <w:r>
        <w:rPr>
          <w:rFonts w:cs="Arial"/>
          <w:color w:val="222222"/>
        </w:rPr>
        <w:br/>
      </w:r>
      <w:r>
        <w:rPr>
          <w:rFonts w:cs="Arial"/>
          <w:color w:val="222222"/>
          <w:shd w:val="clear" w:color="auto" w:fill="FFFFFF"/>
        </w:rPr>
        <w:t>§21</w:t>
      </w:r>
      <w:r>
        <w:rPr>
          <w:rFonts w:cs="Arial"/>
          <w:color w:val="222222"/>
        </w:rPr>
        <w:br/>
      </w:r>
      <w:r>
        <w:rPr>
          <w:rFonts w:cs="Arial"/>
          <w:color w:val="222222"/>
          <w:shd w:val="clear" w:color="auto" w:fill="FFFFFF"/>
        </w:rPr>
        <w:t>1. Obowiązek analizowania ryzyka transakcji i oceny klasyfikowania klientów spoczywa na Koordynatorzy lub Kontrolerze.</w:t>
      </w:r>
      <w:r>
        <w:rPr>
          <w:rFonts w:cs="Arial"/>
          <w:color w:val="222222"/>
        </w:rPr>
        <w:br/>
      </w:r>
      <w:r>
        <w:rPr>
          <w:rFonts w:cs="Arial"/>
          <w:color w:val="222222"/>
          <w:shd w:val="clear" w:color="auto" w:fill="FFFFFF"/>
        </w:rPr>
        <w:t>2. Klasyfikacji dokonuje się przez podział klientów na:</w:t>
      </w:r>
      <w:r>
        <w:rPr>
          <w:rFonts w:cs="Arial"/>
          <w:color w:val="222222"/>
        </w:rPr>
        <w:br/>
      </w:r>
      <w:r>
        <w:rPr>
          <w:rFonts w:cs="Arial"/>
          <w:color w:val="222222"/>
          <w:shd w:val="clear" w:color="auto" w:fill="FFFFFF"/>
        </w:rPr>
        <w:t>   1) klientów „zwyczajnych”,</w:t>
      </w:r>
      <w:r>
        <w:rPr>
          <w:rFonts w:cs="Arial"/>
          <w:color w:val="222222"/>
        </w:rPr>
        <w:br/>
      </w:r>
      <w:r>
        <w:rPr>
          <w:rFonts w:cs="Arial"/>
          <w:color w:val="222222"/>
          <w:shd w:val="clear" w:color="auto" w:fill="FFFFFF"/>
        </w:rPr>
        <w:t>   2) klientów wysokiego ryzyka,</w:t>
      </w:r>
      <w:r>
        <w:rPr>
          <w:rFonts w:cs="Arial"/>
          <w:color w:val="222222"/>
        </w:rPr>
        <w:br/>
      </w:r>
      <w:r>
        <w:rPr>
          <w:rFonts w:cs="Arial"/>
          <w:color w:val="222222"/>
          <w:shd w:val="clear" w:color="auto" w:fill="FFFFFF"/>
        </w:rPr>
        <w:t>3. Uznanie klienta za „klienta wysokiego ryzyka” odbywa się na podstawie dokonanej analizy i oceny ryzyka z uwzględnieniem kryteriów, o których mowa w §21.</w:t>
      </w:r>
      <w:r>
        <w:rPr>
          <w:rFonts w:cs="Arial"/>
          <w:color w:val="222222"/>
        </w:rPr>
        <w:br/>
      </w:r>
      <w:r>
        <w:rPr>
          <w:rFonts w:cs="Arial"/>
          <w:color w:val="222222"/>
          <w:shd w:val="clear" w:color="auto" w:fill="FFFFFF"/>
        </w:rPr>
        <w:t>4. Po uznaniu „klien</w:t>
      </w:r>
      <w:r w:rsidR="00866395">
        <w:rPr>
          <w:rFonts w:cs="Arial"/>
          <w:color w:val="222222"/>
          <w:shd w:val="clear" w:color="auto" w:fill="FFFFFF"/>
        </w:rPr>
        <w:t xml:space="preserve">ta za klientem wysokiego ryzyka </w:t>
      </w:r>
      <w:r>
        <w:rPr>
          <w:rFonts w:cs="Arial"/>
          <w:color w:val="222222"/>
          <w:shd w:val="clear" w:color="auto" w:fill="FFFFFF"/>
        </w:rPr>
        <w:t>Koordynator lub Kontroler informują Koordynatora.</w:t>
      </w:r>
      <w:r>
        <w:rPr>
          <w:rFonts w:cs="Arial"/>
          <w:color w:val="222222"/>
        </w:rPr>
        <w:br/>
      </w:r>
      <w:r>
        <w:rPr>
          <w:rFonts w:cs="Arial"/>
          <w:color w:val="222222"/>
          <w:shd w:val="clear" w:color="auto" w:fill="FFFFFF"/>
        </w:rPr>
        <w:t>5. Analiza transakcji realizowanych przez klientów wysokiego ryzyka dokonywana jest co tydzień, a transakcji dokonywanych na rachunkach pozostałych klientów – raz na miesiąc.</w:t>
      </w:r>
      <w:r>
        <w:rPr>
          <w:rFonts w:cs="Arial"/>
          <w:color w:val="222222"/>
        </w:rPr>
        <w:br/>
      </w:r>
      <w:r>
        <w:rPr>
          <w:rFonts w:cs="Arial"/>
          <w:color w:val="222222"/>
          <w:shd w:val="clear" w:color="auto" w:fill="FFFFFF"/>
        </w:rPr>
        <w:t>6. Co miesięczna analiza dokonywana przez Koordynatora lub Kontrolera powinna być dokonywana w następujących etapach:</w:t>
      </w:r>
      <w:r>
        <w:rPr>
          <w:rFonts w:cs="Arial"/>
          <w:color w:val="222222"/>
        </w:rPr>
        <w:br/>
      </w:r>
      <w:r>
        <w:rPr>
          <w:rFonts w:cs="Arial"/>
          <w:color w:val="222222"/>
          <w:shd w:val="clear" w:color="auto" w:fill="FFFFFF"/>
        </w:rPr>
        <w:t>   1) sprawdzenie czy wszystkie operacje powyżej 10 000 EURO realizowane przez Fundację zostały zarejestrowane i sprawdzenie czy wśród transakcji wykonanych w jednostce znajdujące się z tzw</w:t>
      </w:r>
      <w:r w:rsidR="00866395">
        <w:rPr>
          <w:rFonts w:cs="Arial"/>
          <w:color w:val="222222"/>
          <w:shd w:val="clear" w:color="auto" w:fill="FFFFFF"/>
        </w:rPr>
        <w:t>.</w:t>
      </w:r>
      <w:r>
        <w:rPr>
          <w:rFonts w:cs="Arial"/>
          <w:color w:val="222222"/>
          <w:shd w:val="clear" w:color="auto" w:fill="FFFFFF"/>
        </w:rPr>
        <w:t xml:space="preserve"> transakcje powiązane,</w:t>
      </w:r>
      <w:r>
        <w:rPr>
          <w:rFonts w:cs="Arial"/>
          <w:color w:val="222222"/>
        </w:rPr>
        <w:br/>
      </w:r>
      <w:r>
        <w:rPr>
          <w:rFonts w:cs="Arial"/>
          <w:color w:val="222222"/>
          <w:shd w:val="clear" w:color="auto" w:fill="FFFFFF"/>
        </w:rPr>
        <w:t>   2) sprawdzanie największych transakcji wykonanych w ciągu ostatniego miesiąca oraz przyjrzenie się im pod kątem technik pranie pieniędzy,</w:t>
      </w:r>
      <w:r>
        <w:rPr>
          <w:rFonts w:cs="Arial"/>
          <w:color w:val="222222"/>
        </w:rPr>
        <w:br/>
      </w:r>
      <w:r>
        <w:rPr>
          <w:rFonts w:cs="Arial"/>
          <w:color w:val="222222"/>
          <w:shd w:val="clear" w:color="auto" w:fill="FFFFFF"/>
        </w:rPr>
        <w:t>   3) W przypadku występowania w Fundacji „klientów wysokiego ryzyka” których transakcje są analizowane co tydzień należy podsumować i działanie w skali ostatniego miesiąca.</w:t>
      </w:r>
      <w:r>
        <w:rPr>
          <w:rFonts w:cs="Arial"/>
          <w:color w:val="222222"/>
        </w:rPr>
        <w:br/>
      </w:r>
      <w:r>
        <w:rPr>
          <w:rFonts w:cs="Arial"/>
          <w:color w:val="222222"/>
          <w:shd w:val="clear" w:color="auto" w:fill="FFFFFF"/>
        </w:rPr>
        <w:t>7. Obowiązek klasyfikacji klientów obejmuje zarówno klientów, z którymi zawarto umowę po wejściu w życie Instrukcji, jakich klientów dotychczasowych. </w:t>
      </w:r>
    </w:p>
    <w:p w:rsidR="00D2614A" w:rsidRPr="00866395" w:rsidRDefault="00D2614A" w:rsidP="00653B69">
      <w:pPr>
        <w:jc w:val="both"/>
        <w:rPr>
          <w:b/>
        </w:rPr>
      </w:pPr>
      <w:r w:rsidRPr="00866395">
        <w:rPr>
          <w:b/>
        </w:rPr>
        <w:t>Rozdział VIII</w:t>
      </w:r>
    </w:p>
    <w:p w:rsidR="00D2614A" w:rsidRDefault="00D2614A" w:rsidP="00653B69">
      <w:pPr>
        <w:jc w:val="both"/>
      </w:pPr>
      <w:r>
        <w:t>Typowanie transakcji podejrzanych</w:t>
      </w:r>
    </w:p>
    <w:p w:rsidR="00D2614A" w:rsidRDefault="00D2614A" w:rsidP="00653B69">
      <w:pPr>
        <w:jc w:val="both"/>
      </w:pPr>
      <w:r>
        <w:rPr>
          <w:rFonts w:cs="Arial"/>
        </w:rPr>
        <w:t>§</w:t>
      </w:r>
      <w:r>
        <w:t xml:space="preserve"> 22. </w:t>
      </w:r>
    </w:p>
    <w:p w:rsidR="00D2614A" w:rsidRDefault="00D2614A" w:rsidP="00653B69">
      <w:pPr>
        <w:jc w:val="both"/>
      </w:pPr>
      <w:r>
        <w:lastRenderedPageBreak/>
        <w:t>1. Przez obowiązek typowania transakcji podejrzanych należy rozumieć obowiązek zwracania uwagi przez Koordynatora lub Kontrolera i informowanie Koordynatora o transakcjach, których cechy świadczą o tym, że transakcje te mogą zostać uznane za „dziwne” lub „niezrozumiałe”.</w:t>
      </w:r>
    </w:p>
    <w:p w:rsidR="00D2614A" w:rsidRDefault="00D2614A" w:rsidP="00653B69">
      <w:pPr>
        <w:jc w:val="both"/>
      </w:pPr>
      <w:r>
        <w:t>2. Szczególny obowiązek typowania oraz stosowania metod typowania transakcji podejrzanych ciąży na Koordynatorze i Kontrolerze.</w:t>
      </w:r>
    </w:p>
    <w:p w:rsidR="00D2614A" w:rsidRDefault="00D2614A" w:rsidP="00653B69">
      <w:pPr>
        <w:jc w:val="both"/>
      </w:pPr>
      <w:r>
        <w:rPr>
          <w:rFonts w:cs="Arial"/>
        </w:rPr>
        <w:t>§</w:t>
      </w:r>
      <w:r>
        <w:t xml:space="preserve"> 23. </w:t>
      </w:r>
    </w:p>
    <w:p w:rsidR="00D2614A" w:rsidRDefault="00F03C16" w:rsidP="00653B69">
      <w:pPr>
        <w:jc w:val="both"/>
      </w:pPr>
      <w:r>
        <w:t xml:space="preserve">1. </w:t>
      </w:r>
      <w:r w:rsidR="00D2614A">
        <w:t>Koordynator lub Kontroler mają obowiązek zwrócenia szczególnej uwagi w przypadku ujawnienia następujących okoliczności:</w:t>
      </w:r>
    </w:p>
    <w:p w:rsidR="00D2614A" w:rsidRDefault="00D2614A" w:rsidP="00653B69">
      <w:pPr>
        <w:jc w:val="both"/>
      </w:pPr>
      <w:r>
        <w:t xml:space="preserve">1) </w:t>
      </w:r>
      <w:r w:rsidR="00F03C16">
        <w:t>dokonywanie przez klientów transakcji z tzw. strefami ryzyka, a szczególnie z krajami i obszarami:</w:t>
      </w:r>
    </w:p>
    <w:p w:rsidR="00F03C16" w:rsidRDefault="00F03C16" w:rsidP="00653B69">
      <w:pPr>
        <w:jc w:val="both"/>
      </w:pPr>
      <w:r>
        <w:t>a) w których produkowane są narkotyki, np. kraje „Złotego Trójkąta” (Birma, Laos, Tajlandia), kraje „Złotego Półksiężyca” (Afganistan, Pakistan, Iran);</w:t>
      </w:r>
    </w:p>
    <w:p w:rsidR="00F03C16" w:rsidRDefault="00F03C16" w:rsidP="00653B69">
      <w:pPr>
        <w:jc w:val="both"/>
      </w:pPr>
      <w:r>
        <w:t>b) w których obowiązują łagodne przepisy podatkowe, tzw. oazy podatkowe wskazane w załączniku nr 3 do Instrukcji;</w:t>
      </w:r>
    </w:p>
    <w:p w:rsidR="00F03C16" w:rsidRDefault="00F03C16" w:rsidP="00653B69">
      <w:pPr>
        <w:jc w:val="both"/>
      </w:pPr>
      <w:r>
        <w:t>c)wspierającymi lub podejrzanymi o wspieranie działalności terrorystycznej, np. Iran, Lib</w:t>
      </w:r>
      <w:r w:rsidR="00941693">
        <w:t>ia, Sudan, Afganistan, Pakistan;</w:t>
      </w:r>
    </w:p>
    <w:p w:rsidR="00941693" w:rsidRDefault="00941693" w:rsidP="00653B69">
      <w:pPr>
        <w:jc w:val="both"/>
      </w:pPr>
      <w:r>
        <w:t>2) zaskakującego lub nieracjonalnego zachowania klienta.</w:t>
      </w:r>
    </w:p>
    <w:p w:rsidR="00941693" w:rsidRPr="00866395" w:rsidRDefault="00941693" w:rsidP="00653B69">
      <w:pPr>
        <w:jc w:val="both"/>
        <w:rPr>
          <w:b/>
        </w:rPr>
      </w:pPr>
      <w:r w:rsidRPr="00866395">
        <w:rPr>
          <w:b/>
        </w:rPr>
        <w:t xml:space="preserve">Rozdział IX </w:t>
      </w:r>
    </w:p>
    <w:p w:rsidR="00941693" w:rsidRDefault="00941693" w:rsidP="00653B69">
      <w:pPr>
        <w:jc w:val="both"/>
      </w:pPr>
      <w:r>
        <w:t>Postępowanie w przypadku wykrycia transakcji podejrzanej</w:t>
      </w:r>
    </w:p>
    <w:p w:rsidR="00941693" w:rsidRDefault="00941693" w:rsidP="00653B69">
      <w:pPr>
        <w:jc w:val="both"/>
      </w:pPr>
      <w:r>
        <w:rPr>
          <w:rFonts w:cs="Arial"/>
        </w:rPr>
        <w:t>§</w:t>
      </w:r>
      <w:r>
        <w:t xml:space="preserve"> 24. </w:t>
      </w:r>
    </w:p>
    <w:p w:rsidR="00941693" w:rsidRDefault="00941693" w:rsidP="00653B69">
      <w:pPr>
        <w:jc w:val="both"/>
      </w:pPr>
      <w:r>
        <w:t>1. Koordynator lub Kontroler w przypadku powzięcia podejrzenia, iż planowana, realizowana bądź zrealizowana transakcja ma na celu pranie pieniędzy, ma bezwzględny obowiązek bezzwłocznego zgłoszenia tego faktu na piśmie, w formie notatki służbowej Prezesowi Zarządu.</w:t>
      </w:r>
    </w:p>
    <w:p w:rsidR="00941693" w:rsidRDefault="00941693" w:rsidP="00653B69">
      <w:pPr>
        <w:jc w:val="both"/>
      </w:pPr>
      <w:r>
        <w:t>2. Notatka służbowa, o której mowa w ust. 1, winna zawierać opis transakcji pozwalający na jej identyfikację oraz własne spostrzeżenia uzasadniające podejrzany charakter transakcji.</w:t>
      </w:r>
    </w:p>
    <w:p w:rsidR="00941693" w:rsidRDefault="00941693" w:rsidP="00653B69">
      <w:pPr>
        <w:jc w:val="both"/>
      </w:pPr>
      <w:r>
        <w:rPr>
          <w:rFonts w:cs="Arial"/>
        </w:rPr>
        <w:t>§</w:t>
      </w:r>
      <w:r>
        <w:t xml:space="preserve"> 25. </w:t>
      </w:r>
    </w:p>
    <w:p w:rsidR="00187A3B" w:rsidRDefault="00187A3B" w:rsidP="00653B69">
      <w:pPr>
        <w:jc w:val="both"/>
      </w:pPr>
      <w:r>
        <w:t xml:space="preserve">Jeżeli podejrzany charakter transakcji wykryła inna osoba niż Koordynator lub Kontroler, zgłoszenie, o którym mowa w </w:t>
      </w:r>
      <w:r>
        <w:rPr>
          <w:rFonts w:cs="Arial"/>
        </w:rPr>
        <w:t>§</w:t>
      </w:r>
      <w:r>
        <w:t xml:space="preserve"> 24, należy poprzedzić bezzwłoczną konsultacją z Koordynatorem lub Kontrolerem.</w:t>
      </w:r>
    </w:p>
    <w:p w:rsidR="00187A3B" w:rsidRDefault="00187A3B" w:rsidP="00653B69">
      <w:pPr>
        <w:jc w:val="both"/>
      </w:pPr>
      <w:r>
        <w:rPr>
          <w:rFonts w:cs="Arial"/>
        </w:rPr>
        <w:t>§</w:t>
      </w:r>
      <w:r>
        <w:t xml:space="preserve"> 26. </w:t>
      </w:r>
    </w:p>
    <w:p w:rsidR="00187A3B" w:rsidRDefault="00187A3B" w:rsidP="00653B69">
      <w:pPr>
        <w:jc w:val="both"/>
      </w:pPr>
      <w:r>
        <w:t xml:space="preserve">1. Koordynator w porozumieniu z Kontrolerem, podejmuje decyzję co do uznania transakcji za podejrzaną i przekazania stosownej informacji do </w:t>
      </w:r>
      <w:proofErr w:type="spellStart"/>
      <w:r>
        <w:t>GIIF</w:t>
      </w:r>
      <w:proofErr w:type="spellEnd"/>
      <w:r>
        <w:t xml:space="preserve">. </w:t>
      </w:r>
    </w:p>
    <w:p w:rsidR="00BF00BE" w:rsidRDefault="00187A3B" w:rsidP="00653B69">
      <w:pPr>
        <w:jc w:val="both"/>
      </w:pPr>
      <w:r>
        <w:lastRenderedPageBreak/>
        <w:t xml:space="preserve">2. Pozytywna decyzja osób, o której mowa w ust. 1, </w:t>
      </w:r>
      <w:r w:rsidR="00BF00BE">
        <w:t xml:space="preserve">co do uznania transakcji za podejrzaną, skutkuje koniecznością dokonania przez Koordynatora odpowiednich wpisów dotyczących przedmiotowej transakcji w rejestrze i powiadomienia </w:t>
      </w:r>
      <w:proofErr w:type="spellStart"/>
      <w:r w:rsidR="00BF00BE">
        <w:t>GIIF</w:t>
      </w:r>
      <w:proofErr w:type="spellEnd"/>
      <w:r w:rsidR="00BF00BE">
        <w:t>.</w:t>
      </w:r>
    </w:p>
    <w:p w:rsidR="00BF00BE" w:rsidRDefault="00BF00BE" w:rsidP="00653B69">
      <w:pPr>
        <w:jc w:val="both"/>
      </w:pPr>
      <w:r>
        <w:rPr>
          <w:rFonts w:cs="Arial"/>
        </w:rPr>
        <w:t>§</w:t>
      </w:r>
      <w:r>
        <w:t xml:space="preserve"> 27. </w:t>
      </w:r>
    </w:p>
    <w:p w:rsidR="00187A3B" w:rsidRDefault="00BF00BE" w:rsidP="00653B69">
      <w:pPr>
        <w:jc w:val="both"/>
      </w:pPr>
      <w:r>
        <w:t xml:space="preserve">Wykrycie transakcji podejrzanej, a także powiadomienie </w:t>
      </w:r>
      <w:proofErr w:type="spellStart"/>
      <w:r>
        <w:t>GIIF</w:t>
      </w:r>
      <w:proofErr w:type="spellEnd"/>
      <w:r>
        <w:t xml:space="preserve"> o transakcji podejrzanej, jest informacją wymagającą szczególnej ochrony i jako taka wymaga też szczególnej dyskrecji i udostępniania jej wyłącznie osobom i podmiotom do tego upoważnionym. W szczególności zabrania się udostępniania jej podmiotom, które bezpośrednio lub pośrednio uczestniczyły w transakcji.</w:t>
      </w:r>
    </w:p>
    <w:p w:rsidR="00BF00BE" w:rsidRDefault="00BF00BE" w:rsidP="00653B69">
      <w:pPr>
        <w:jc w:val="both"/>
      </w:pPr>
      <w:r>
        <w:rPr>
          <w:rFonts w:cs="Arial"/>
        </w:rPr>
        <w:t>§</w:t>
      </w:r>
      <w:r>
        <w:t xml:space="preserve"> 28. </w:t>
      </w:r>
    </w:p>
    <w:p w:rsidR="00BF00BE" w:rsidRDefault="00BF00BE" w:rsidP="00653B69">
      <w:pPr>
        <w:jc w:val="both"/>
      </w:pPr>
      <w:r>
        <w:t xml:space="preserve">Kopia notatki,  o której mowa w </w:t>
      </w:r>
      <w:r>
        <w:rPr>
          <w:rFonts w:cs="Arial"/>
        </w:rPr>
        <w:t>§</w:t>
      </w:r>
      <w:r w:rsidR="00D62167">
        <w:t xml:space="preserve"> 25 ust. 1, oraz decyzja Koordynatora lub Kontrolera przekazywana jest bezzwłocznie do Prezesa Zarządu wraz z kopią informacji przekazanej do </w:t>
      </w:r>
      <w:proofErr w:type="spellStart"/>
      <w:r w:rsidR="00D62167">
        <w:t>GIIF</w:t>
      </w:r>
      <w:proofErr w:type="spellEnd"/>
      <w:r w:rsidR="00D62167">
        <w:t>.</w:t>
      </w:r>
    </w:p>
    <w:p w:rsidR="00D62167" w:rsidRPr="00866395" w:rsidRDefault="00D62167" w:rsidP="00653B69">
      <w:pPr>
        <w:jc w:val="both"/>
        <w:rPr>
          <w:b/>
        </w:rPr>
      </w:pPr>
      <w:r w:rsidRPr="00866395">
        <w:rPr>
          <w:b/>
        </w:rPr>
        <w:t>Rozdział X</w:t>
      </w:r>
    </w:p>
    <w:p w:rsidR="00D62167" w:rsidRDefault="00D62167" w:rsidP="00653B69">
      <w:pPr>
        <w:jc w:val="both"/>
      </w:pPr>
      <w:r>
        <w:t xml:space="preserve">Przekazywanie danych do </w:t>
      </w:r>
      <w:proofErr w:type="spellStart"/>
      <w:r>
        <w:t>GIIF</w:t>
      </w:r>
      <w:proofErr w:type="spellEnd"/>
    </w:p>
    <w:p w:rsidR="00D62167" w:rsidRDefault="00D62167" w:rsidP="00653B69">
      <w:pPr>
        <w:jc w:val="both"/>
      </w:pPr>
      <w:r>
        <w:rPr>
          <w:rFonts w:cs="Arial"/>
        </w:rPr>
        <w:t>§</w:t>
      </w:r>
      <w:r>
        <w:t xml:space="preserve"> 29. </w:t>
      </w:r>
    </w:p>
    <w:p w:rsidR="00D62167" w:rsidRDefault="00D62167" w:rsidP="00653B69">
      <w:pPr>
        <w:jc w:val="both"/>
      </w:pPr>
      <w:r>
        <w:t xml:space="preserve">1. W przypadku podjętej decyzji przez Koordynatora lub Kontrolera co do uznania transakcji za podejrzaną Koordynator w porozumieniu z Kontrolerem niezwłocznie przekazują do </w:t>
      </w:r>
      <w:proofErr w:type="spellStart"/>
      <w:r>
        <w:t>GIIF</w:t>
      </w:r>
      <w:proofErr w:type="spellEnd"/>
      <w:r>
        <w:t xml:space="preserve"> informację o zarejestrowanej podejrzanej transakcji zawierającą dane, o których mowa w </w:t>
      </w:r>
      <w:r>
        <w:rPr>
          <w:rFonts w:cs="Arial"/>
        </w:rPr>
        <w:t>§</w:t>
      </w:r>
      <w:r>
        <w:t xml:space="preserve"> 18 Instrukcji.</w:t>
      </w:r>
    </w:p>
    <w:p w:rsidR="00D62167" w:rsidRDefault="00D62167" w:rsidP="00653B69">
      <w:pPr>
        <w:jc w:val="both"/>
      </w:pPr>
      <w:r>
        <w:t xml:space="preserve">2. Informacje o pozostałych transakcjach, zarejestrowanych, Koordynator lub Kontroler przekazuje do </w:t>
      </w:r>
      <w:proofErr w:type="spellStart"/>
      <w:r>
        <w:t>GIIF</w:t>
      </w:r>
      <w:proofErr w:type="spellEnd"/>
      <w:r>
        <w:t>, w terminie 14 dni po upływie każdego miesiąca kalendarzowego.</w:t>
      </w:r>
    </w:p>
    <w:p w:rsidR="00D62167" w:rsidRDefault="00D62167" w:rsidP="00653B69">
      <w:pPr>
        <w:jc w:val="both"/>
      </w:pPr>
      <w:r>
        <w:t xml:space="preserve">3. Koordynator prowadzi korespondencję z </w:t>
      </w:r>
      <w:proofErr w:type="spellStart"/>
      <w:r>
        <w:t>GIIF</w:t>
      </w:r>
      <w:proofErr w:type="spellEnd"/>
      <w:r>
        <w:t xml:space="preserve"> w sprawach kierowanych do Fundacji, w tym zapytań klientów.</w:t>
      </w:r>
    </w:p>
    <w:p w:rsidR="00D62167" w:rsidRPr="007778E1" w:rsidRDefault="00D62167" w:rsidP="00653B69">
      <w:pPr>
        <w:jc w:val="both"/>
        <w:rPr>
          <w:b/>
        </w:rPr>
      </w:pPr>
      <w:r w:rsidRPr="007778E1">
        <w:rPr>
          <w:b/>
        </w:rPr>
        <w:t>Rozdział XI</w:t>
      </w:r>
    </w:p>
    <w:p w:rsidR="00D62167" w:rsidRDefault="00D62167" w:rsidP="00653B69">
      <w:pPr>
        <w:jc w:val="both"/>
      </w:pPr>
      <w:r>
        <w:t>Procedura wstrzymania transakcji i zamrożenia transakcji</w:t>
      </w:r>
    </w:p>
    <w:p w:rsidR="00D62167" w:rsidRDefault="00D62167" w:rsidP="00653B69">
      <w:pPr>
        <w:jc w:val="both"/>
      </w:pPr>
      <w:r>
        <w:rPr>
          <w:rFonts w:cs="Arial"/>
        </w:rPr>
        <w:t>§</w:t>
      </w:r>
      <w:r>
        <w:t xml:space="preserve"> 30. </w:t>
      </w:r>
    </w:p>
    <w:p w:rsidR="00D62167" w:rsidRDefault="00D62167" w:rsidP="00653B69">
      <w:pPr>
        <w:jc w:val="both"/>
      </w:pPr>
      <w:r>
        <w:t xml:space="preserve">1. Koordynator w porozumieniu z Kontrolerem, rozpoczyna procedurę prowadzącą do wstrzymania transakcji przez </w:t>
      </w:r>
      <w:proofErr w:type="spellStart"/>
      <w:r>
        <w:t>GIIF</w:t>
      </w:r>
      <w:proofErr w:type="spellEnd"/>
      <w:r>
        <w:t xml:space="preserve"> w przypadku, gdy otrzyma dyspozycję lub zlecenie przeprowadzenia transakcji lub ma przeprowadzić transakcję, co do której zachodzi uzasadnione podejrzenie, że transakcja ta ma związek z popełnieniem przestępstwa, o których mowa </w:t>
      </w:r>
      <w:r w:rsidRPr="007778E1">
        <w:t xml:space="preserve">w art. 165a lub art. </w:t>
      </w:r>
      <w:r w:rsidR="00A21CA8" w:rsidRPr="007778E1">
        <w:t>299 kodeksu karnego (pranie pieniędzy).</w:t>
      </w:r>
    </w:p>
    <w:p w:rsidR="00A21CA8" w:rsidRDefault="00A21CA8" w:rsidP="00653B69">
      <w:pPr>
        <w:jc w:val="both"/>
      </w:pPr>
      <w:r>
        <w:t xml:space="preserve">2. Koordynator wspólnie z Kontrolerem podejmują decyzję o przekazaniu informacji, informacje określone w </w:t>
      </w:r>
      <w:r>
        <w:rPr>
          <w:rFonts w:cs="Arial"/>
        </w:rPr>
        <w:t>§</w:t>
      </w:r>
      <w:r>
        <w:t xml:space="preserve"> 18 oraz szczegółowe informacja o przesłankach przemawiających za wstrzymaniem transakcji, a także zamierzony termin jej realizacji do </w:t>
      </w:r>
      <w:proofErr w:type="spellStart"/>
      <w:r>
        <w:t>GIIF</w:t>
      </w:r>
      <w:proofErr w:type="spellEnd"/>
      <w:r>
        <w:t xml:space="preserve"> i wstrzymaniu transakcji. </w:t>
      </w:r>
    </w:p>
    <w:p w:rsidR="00A21CA8" w:rsidRDefault="00A21CA8" w:rsidP="00653B69">
      <w:pPr>
        <w:jc w:val="both"/>
      </w:pPr>
      <w:r>
        <w:t xml:space="preserve">3. </w:t>
      </w:r>
      <w:proofErr w:type="spellStart"/>
      <w:r>
        <w:t>GIIF</w:t>
      </w:r>
      <w:proofErr w:type="spellEnd"/>
      <w:r>
        <w:t xml:space="preserve"> przesyła pisemne potwierdzenie przyjęcia zawiadomienia.</w:t>
      </w:r>
    </w:p>
    <w:p w:rsidR="00A21CA8" w:rsidRDefault="00A21CA8" w:rsidP="00653B69">
      <w:pPr>
        <w:jc w:val="both"/>
      </w:pPr>
      <w:r>
        <w:rPr>
          <w:rFonts w:cs="Arial"/>
        </w:rPr>
        <w:lastRenderedPageBreak/>
        <w:t>§</w:t>
      </w:r>
      <w:r>
        <w:t xml:space="preserve"> 31. </w:t>
      </w:r>
    </w:p>
    <w:p w:rsidR="00A21CA8" w:rsidRDefault="00A21CA8" w:rsidP="00653B69">
      <w:pPr>
        <w:jc w:val="both"/>
      </w:pPr>
      <w:r>
        <w:t xml:space="preserve">Jeżeli </w:t>
      </w:r>
      <w:proofErr w:type="spellStart"/>
      <w:r>
        <w:t>GIIF</w:t>
      </w:r>
      <w:proofErr w:type="spellEnd"/>
      <w:r>
        <w:t xml:space="preserve"> zgłosi do Fundacji pisemne żądanie wstrzymania planowanej lub realizowanej transakcji, Koordynator w porozumieniu z Kontrolerem wstrzymuje realizowanie transakcji.</w:t>
      </w:r>
    </w:p>
    <w:p w:rsidR="00A21CA8" w:rsidRDefault="00A21CA8" w:rsidP="00653B69">
      <w:pPr>
        <w:jc w:val="both"/>
      </w:pPr>
      <w:r>
        <w:rPr>
          <w:rFonts w:cs="Arial"/>
        </w:rPr>
        <w:t>§</w:t>
      </w:r>
      <w:r>
        <w:t xml:space="preserve"> 32</w:t>
      </w:r>
    </w:p>
    <w:p w:rsidR="00A21CA8" w:rsidRDefault="00A21CA8" w:rsidP="00653B69">
      <w:pPr>
        <w:jc w:val="both"/>
      </w:pPr>
      <w:r>
        <w:t xml:space="preserve">Żądanie </w:t>
      </w:r>
      <w:proofErr w:type="spellStart"/>
      <w:r>
        <w:t>GIIF</w:t>
      </w:r>
      <w:proofErr w:type="spellEnd"/>
      <w:r>
        <w:t xml:space="preserve">, o którym mowa w </w:t>
      </w:r>
      <w:r>
        <w:rPr>
          <w:rFonts w:cs="Arial"/>
        </w:rPr>
        <w:t>§</w:t>
      </w:r>
      <w:r w:rsidR="00A76242">
        <w:t xml:space="preserve">31, aby było ważne, musi zostać dostarczone do Fundacji w ciągu 24 godzin od momentu potwierdzenia przyjęcia zawiadomienia przez </w:t>
      </w:r>
      <w:proofErr w:type="spellStart"/>
      <w:r w:rsidR="00A76242">
        <w:t>GIIF</w:t>
      </w:r>
      <w:proofErr w:type="spellEnd"/>
      <w:r w:rsidR="00A76242">
        <w:t xml:space="preserve">. Okres, na który transakcja zostaje wstrzymana, nie może trwać dłużej, niż 72 godziny od momentu potwierdzenia przyjęcia zawiadomienia. </w:t>
      </w:r>
    </w:p>
    <w:p w:rsidR="00A76242" w:rsidRDefault="00A76242" w:rsidP="00653B69">
      <w:pPr>
        <w:jc w:val="both"/>
      </w:pPr>
      <w:r>
        <w:rPr>
          <w:rFonts w:cs="Arial"/>
        </w:rPr>
        <w:t>§</w:t>
      </w:r>
      <w:r>
        <w:t xml:space="preserve"> 33. </w:t>
      </w:r>
    </w:p>
    <w:p w:rsidR="00A76242" w:rsidRDefault="00A76242" w:rsidP="00653B69">
      <w:pPr>
        <w:jc w:val="both"/>
      </w:pPr>
      <w:r>
        <w:t>Natychmiast po otrzymaniu żądania wstrzymania transakcji Koordynator wydaje pracownikom polecenie wstrzymania się od wszelkich czynności zmierzających do realizacji transakcji.</w:t>
      </w:r>
    </w:p>
    <w:p w:rsidR="00A76242" w:rsidRDefault="00D02CE0" w:rsidP="00653B69">
      <w:pPr>
        <w:jc w:val="both"/>
      </w:pPr>
      <w:r>
        <w:rPr>
          <w:rFonts w:cs="Arial"/>
        </w:rPr>
        <w:t>§</w:t>
      </w:r>
      <w:r>
        <w:t xml:space="preserve"> 34. </w:t>
      </w:r>
    </w:p>
    <w:p w:rsidR="00D02CE0" w:rsidRDefault="00D02CE0" w:rsidP="00653B69">
      <w:pPr>
        <w:jc w:val="both"/>
      </w:pPr>
      <w:r>
        <w:t>1. Czas, na który zostaje wstrzymana transakcja może zostać przedłużony postanowieniem prokuratora na okres do 3 miesięcy.</w:t>
      </w:r>
    </w:p>
    <w:p w:rsidR="00D02CE0" w:rsidRDefault="00D02CE0" w:rsidP="00653B69">
      <w:pPr>
        <w:jc w:val="both"/>
      </w:pPr>
      <w:r>
        <w:t xml:space="preserve">2. Wstrzymanie transakcji upada, jeżeli przed upływem 3 miesięcy od otrzymania zawiadomienia przez prokuraturę, nie zostanie wydane postanowienie o zabezpieczeniu majątkowym. </w:t>
      </w:r>
    </w:p>
    <w:p w:rsidR="00D02CE0" w:rsidRDefault="00D02CE0" w:rsidP="00653B69">
      <w:pPr>
        <w:jc w:val="both"/>
      </w:pPr>
      <w:r>
        <w:rPr>
          <w:rFonts w:cs="Arial"/>
        </w:rPr>
        <w:t>§</w:t>
      </w:r>
      <w:r>
        <w:t xml:space="preserve"> 35. </w:t>
      </w:r>
    </w:p>
    <w:p w:rsidR="00D02CE0" w:rsidRDefault="00D02CE0" w:rsidP="00653B69">
      <w:pPr>
        <w:jc w:val="both"/>
      </w:pPr>
      <w:r>
        <w:t>1. Fundacja dokonuje zamrożenia wartości majątkowych, z zachowaniem należytej staranności, z wyłączeniem rzeczy ruchomych i nieruchomości, na podstawie:</w:t>
      </w:r>
    </w:p>
    <w:p w:rsidR="00D02CE0" w:rsidRDefault="00D02CE0" w:rsidP="00653B69">
      <w:pPr>
        <w:jc w:val="both"/>
      </w:pPr>
      <w:r>
        <w:t xml:space="preserve">1) </w:t>
      </w:r>
      <w:r w:rsidR="00865B15">
        <w:t>prawa Unii Europejskiej wprowadzającego szczególne środki ograniczające przeciwko niektórym osobom, grupom lub podmiotom oraz</w:t>
      </w:r>
    </w:p>
    <w:p w:rsidR="00865B15" w:rsidRDefault="00865B15" w:rsidP="00653B69">
      <w:pPr>
        <w:jc w:val="both"/>
      </w:pPr>
      <w:r>
        <w:t>2) przepisów wydanych przez ministra właściwego do spraw instytucji finansowych w porozumieniu z ministrem właściwym do spraw zagranicznych, w których mogą zostać określone listy osób, grup i podmiotów, w stosunku do których dokonuje się zamrożenia, z uwzględnieniem konieczności wykonania zobowiązań wynikających z wiążących Rzeczpospolitą Polską umów międzynarodowych lub wiążących uchwał organizacji międzynarodowych, oraz mając na uwadze konieczność zwalczania terroryzmu i przeciwdziałania finansowaniu terroryzmu.</w:t>
      </w:r>
    </w:p>
    <w:p w:rsidR="00865B15" w:rsidRDefault="00865B15" w:rsidP="00653B69">
      <w:pPr>
        <w:jc w:val="both"/>
      </w:pPr>
      <w:r>
        <w:t>2. Fundacja dokonując zamrożenia, przekazuje wszystkie posiadane dane związane z zamrożeniem wartości majątkowych Generalnemu Inspektorowi w formie papierowej.</w:t>
      </w:r>
    </w:p>
    <w:p w:rsidR="00865B15" w:rsidRDefault="00865B15" w:rsidP="00653B69">
      <w:pPr>
        <w:jc w:val="both"/>
      </w:pPr>
      <w:r>
        <w:t xml:space="preserve">3. Koordynator przekazuje Kontrolerowi informacje o podmiotach, co do których zachodzi uzasadnione podejrzenie o związek z popełnianiem aktów terrorystycznych. </w:t>
      </w:r>
    </w:p>
    <w:p w:rsidR="00E55387" w:rsidRPr="007778E1" w:rsidRDefault="00E55387" w:rsidP="00653B69">
      <w:pPr>
        <w:jc w:val="both"/>
        <w:rPr>
          <w:b/>
        </w:rPr>
      </w:pPr>
      <w:r w:rsidRPr="007778E1">
        <w:rPr>
          <w:b/>
        </w:rPr>
        <w:t>Rozdział XII</w:t>
      </w:r>
    </w:p>
    <w:p w:rsidR="00E55387" w:rsidRDefault="00E55387" w:rsidP="00653B69">
      <w:pPr>
        <w:jc w:val="both"/>
      </w:pPr>
      <w:r>
        <w:t>Zasady szkolenia pracowników Fundacji</w:t>
      </w:r>
    </w:p>
    <w:p w:rsidR="00E55387" w:rsidRDefault="00E55387" w:rsidP="00653B69">
      <w:pPr>
        <w:jc w:val="both"/>
      </w:pPr>
      <w:r>
        <w:rPr>
          <w:rFonts w:cs="Arial"/>
        </w:rPr>
        <w:lastRenderedPageBreak/>
        <w:t>§</w:t>
      </w:r>
      <w:r>
        <w:t xml:space="preserve"> 36. </w:t>
      </w:r>
    </w:p>
    <w:p w:rsidR="00E55387" w:rsidRDefault="00E55387" w:rsidP="00653B69">
      <w:pPr>
        <w:jc w:val="both"/>
      </w:pPr>
      <w:r>
        <w:t xml:space="preserve">1. Koordynator lub Kontroler mają obowiązek przynajmniej raz w roku uczestniczenia w szkoleniu na koszt Fundacji w zakresie spraw objętych niniejszą Instrukcją, przy czym nie później niż w terminie 60 dni od dnia wejścia w życie niniejszej Instrukcji winni wziąć udział w szkoleniu lub szkoleniu </w:t>
      </w:r>
      <w:proofErr w:type="spellStart"/>
      <w:r>
        <w:t>e-learningowym</w:t>
      </w:r>
      <w:proofErr w:type="spellEnd"/>
      <w:r>
        <w:t xml:space="preserve"> organizowanym przez </w:t>
      </w:r>
      <w:proofErr w:type="spellStart"/>
      <w:r>
        <w:t>GIIF</w:t>
      </w:r>
      <w:proofErr w:type="spellEnd"/>
      <w:r>
        <w:t>.</w:t>
      </w:r>
    </w:p>
    <w:p w:rsidR="00E55387" w:rsidRDefault="00E55387" w:rsidP="00653B69">
      <w:pPr>
        <w:jc w:val="both"/>
      </w:pPr>
      <w:r>
        <w:t xml:space="preserve">2. Osoby, o których mowa w ust. 1, winne przeprowadzić dla wszystkich pracowników Fundacji okresowe szkolenia z zakresu spraw objętych postanowieniami niniejszej Instrukcji. </w:t>
      </w:r>
    </w:p>
    <w:p w:rsidR="00E55387" w:rsidRPr="007778E1" w:rsidRDefault="00E55387" w:rsidP="00653B69">
      <w:pPr>
        <w:jc w:val="both"/>
        <w:rPr>
          <w:b/>
        </w:rPr>
      </w:pPr>
      <w:r w:rsidRPr="007778E1">
        <w:rPr>
          <w:b/>
        </w:rPr>
        <w:t>Rozdział XIII</w:t>
      </w:r>
    </w:p>
    <w:p w:rsidR="00E55387" w:rsidRDefault="00E55387" w:rsidP="00653B69">
      <w:pPr>
        <w:jc w:val="both"/>
      </w:pPr>
      <w:r>
        <w:t>Przepisy końcowe</w:t>
      </w:r>
    </w:p>
    <w:p w:rsidR="00E55387" w:rsidRDefault="00E55387" w:rsidP="00653B69">
      <w:pPr>
        <w:jc w:val="both"/>
      </w:pPr>
      <w:r>
        <w:rPr>
          <w:rFonts w:cs="Arial"/>
        </w:rPr>
        <w:t>§</w:t>
      </w:r>
      <w:r>
        <w:t xml:space="preserve"> 37. </w:t>
      </w:r>
    </w:p>
    <w:p w:rsidR="00E55387" w:rsidRDefault="00E55387" w:rsidP="00653B69">
      <w:pPr>
        <w:jc w:val="both"/>
      </w:pPr>
      <w:r>
        <w:t xml:space="preserve">1. W sprawach nieuregulowanych niniejszą Instrukcją mają zastosowanie przepisy prawa stanowiące podstawę prawną dla wydania niniejszej Instrukcji, w których mowa w </w:t>
      </w:r>
      <w:r>
        <w:rPr>
          <w:rFonts w:cs="Arial"/>
        </w:rPr>
        <w:t>§</w:t>
      </w:r>
      <w:r>
        <w:t xml:space="preserve"> 4. </w:t>
      </w:r>
    </w:p>
    <w:p w:rsidR="00E55387" w:rsidRDefault="00E55387" w:rsidP="00653B69">
      <w:pPr>
        <w:jc w:val="both"/>
      </w:pPr>
      <w:r>
        <w:t xml:space="preserve">2. Koordynator </w:t>
      </w:r>
      <w:r w:rsidR="003E38E9">
        <w:t xml:space="preserve">lub Kontroler niezwłocznie przekażą do </w:t>
      </w:r>
      <w:proofErr w:type="spellStart"/>
      <w:r w:rsidR="003E38E9">
        <w:t>GIIF</w:t>
      </w:r>
      <w:proofErr w:type="spellEnd"/>
      <w:r w:rsidR="003E38E9">
        <w:t xml:space="preserve"> formularz identyfikacyjny, o którym mowa w rozporządzeniu.</w:t>
      </w:r>
    </w:p>
    <w:p w:rsidR="003E38E9" w:rsidRDefault="003E38E9" w:rsidP="00653B69">
      <w:pPr>
        <w:jc w:val="both"/>
      </w:pPr>
      <w:r>
        <w:t>3. Osoby odpowiedzialne za realizacje obowiązków wynikających z niniejszej Instrukcji podpisują oświadczenie o zapoznaniu się z Instrukcją oraz zobowiązują się do jej stosowania. Wzór oświadczenia stanowi załącznik nr 4 do Instrukcji. Wypełnione i podpisane oświadczenia przechowywane są w biurze Fundacji.</w:t>
      </w:r>
    </w:p>
    <w:p w:rsidR="003E38E9" w:rsidRDefault="003E38E9" w:rsidP="00653B69">
      <w:pPr>
        <w:jc w:val="both"/>
      </w:pPr>
      <w:r>
        <w:rPr>
          <w:rFonts w:cs="Arial"/>
        </w:rPr>
        <w:t>§</w:t>
      </w:r>
      <w:r>
        <w:t xml:space="preserve"> 38. </w:t>
      </w:r>
    </w:p>
    <w:p w:rsidR="003E38E9" w:rsidRDefault="003E38E9" w:rsidP="00653B69">
      <w:pPr>
        <w:jc w:val="both"/>
      </w:pPr>
      <w:r>
        <w:t>Niniejsza Instrukcj</w:t>
      </w:r>
      <w:r w:rsidR="00412563">
        <w:t xml:space="preserve">a (zaktualizowana) wchodzi w życie z dniem 14 sierpnia 2019 roku. </w:t>
      </w:r>
    </w:p>
    <w:sectPr w:rsidR="003E38E9" w:rsidSect="002A7F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0B4747"/>
    <w:rsid w:val="000036A0"/>
    <w:rsid w:val="000B4747"/>
    <w:rsid w:val="001378AE"/>
    <w:rsid w:val="001615A6"/>
    <w:rsid w:val="00187A3B"/>
    <w:rsid w:val="00206D9A"/>
    <w:rsid w:val="002A5EA0"/>
    <w:rsid w:val="002A7F6E"/>
    <w:rsid w:val="002D1E18"/>
    <w:rsid w:val="002D3364"/>
    <w:rsid w:val="00332778"/>
    <w:rsid w:val="003C3E2D"/>
    <w:rsid w:val="003E38E9"/>
    <w:rsid w:val="00407C31"/>
    <w:rsid w:val="00412563"/>
    <w:rsid w:val="004B66E7"/>
    <w:rsid w:val="004F3FB6"/>
    <w:rsid w:val="0062071C"/>
    <w:rsid w:val="00626F6F"/>
    <w:rsid w:val="00653B69"/>
    <w:rsid w:val="006D463C"/>
    <w:rsid w:val="006D5B81"/>
    <w:rsid w:val="007778E1"/>
    <w:rsid w:val="007E3A5A"/>
    <w:rsid w:val="007F1A6C"/>
    <w:rsid w:val="008348B6"/>
    <w:rsid w:val="00865B15"/>
    <w:rsid w:val="00866395"/>
    <w:rsid w:val="00874CD6"/>
    <w:rsid w:val="008C418B"/>
    <w:rsid w:val="008E4784"/>
    <w:rsid w:val="008F5B58"/>
    <w:rsid w:val="00941693"/>
    <w:rsid w:val="00963110"/>
    <w:rsid w:val="00995474"/>
    <w:rsid w:val="00995BF4"/>
    <w:rsid w:val="009B042B"/>
    <w:rsid w:val="00A05F90"/>
    <w:rsid w:val="00A126A9"/>
    <w:rsid w:val="00A21CA8"/>
    <w:rsid w:val="00A76242"/>
    <w:rsid w:val="00A94FC7"/>
    <w:rsid w:val="00AA1EC6"/>
    <w:rsid w:val="00AB6DFF"/>
    <w:rsid w:val="00AF7935"/>
    <w:rsid w:val="00BF00BE"/>
    <w:rsid w:val="00C51E39"/>
    <w:rsid w:val="00C753CF"/>
    <w:rsid w:val="00CB3970"/>
    <w:rsid w:val="00D02CE0"/>
    <w:rsid w:val="00D2614A"/>
    <w:rsid w:val="00D62167"/>
    <w:rsid w:val="00D93B70"/>
    <w:rsid w:val="00DF037D"/>
    <w:rsid w:val="00E550B5"/>
    <w:rsid w:val="00E55387"/>
    <w:rsid w:val="00E746F6"/>
    <w:rsid w:val="00EA316D"/>
    <w:rsid w:val="00F03C16"/>
    <w:rsid w:val="00F269D5"/>
    <w:rsid w:val="00F97D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7F6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15</Pages>
  <Words>5268</Words>
  <Characters>31610</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Dziewanowska</dc:creator>
  <cp:lastModifiedBy>Małgorzata Dziewanowska</cp:lastModifiedBy>
  <cp:revision>5</cp:revision>
  <dcterms:created xsi:type="dcterms:W3CDTF">2019-06-04T16:58:00Z</dcterms:created>
  <dcterms:modified xsi:type="dcterms:W3CDTF">2019-08-14T08:59:00Z</dcterms:modified>
</cp:coreProperties>
</file>